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91951" w:rsidRPr="00654793" w:rsidRDefault="00196CCB" w:rsidP="00CB47F9">
      <w:pPr>
        <w:tabs>
          <w:tab w:val="left" w:pos="3014"/>
        </w:tabs>
        <w:spacing w:after="3000"/>
        <w:jc w:val="both"/>
        <w:rPr>
          <w:rStyle w:val="FootnoteReference"/>
        </w:rPr>
      </w:pPr>
      <w:r>
        <w:rPr>
          <w:noProof/>
        </w:rPr>
        <mc:AlternateContent>
          <mc:Choice Requires="wps">
            <w:drawing>
              <wp:anchor distT="0" distB="0" distL="114300" distR="114300" simplePos="0" relativeHeight="251657728" behindDoc="0" locked="0" layoutInCell="1" allowOverlap="1" wp14:anchorId="23D1C4B6" wp14:editId="417448CB">
                <wp:simplePos x="0" y="0"/>
                <wp:positionH relativeFrom="column">
                  <wp:posOffset>-405130</wp:posOffset>
                </wp:positionH>
                <wp:positionV relativeFrom="paragraph">
                  <wp:posOffset>1996440</wp:posOffset>
                </wp:positionV>
                <wp:extent cx="6142990" cy="1187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2990" cy="1187450"/>
                        </a:xfrm>
                        <a:prstGeom prst="rect">
                          <a:avLst/>
                        </a:prstGeom>
                        <a:noFill/>
                        <a:ln w="6350">
                          <a:noFill/>
                        </a:ln>
                        <a:effectLst/>
                      </wps:spPr>
                      <wps:txbx>
                        <w:txbxContent>
                          <w:p w:rsidR="00A77555" w:rsidRDefault="00A77555" w:rsidP="00A11307">
                            <w:pPr>
                              <w:pStyle w:val="Subtitle"/>
                            </w:pPr>
                          </w:p>
                          <w:p w:rsidR="00A77555" w:rsidRDefault="00A77555" w:rsidP="00A11307">
                            <w:pPr>
                              <w:pStyle w:val="Subtitle"/>
                            </w:pPr>
                          </w:p>
                          <w:p w:rsidR="00A77555" w:rsidRPr="00B74219" w:rsidRDefault="00A77555" w:rsidP="00A11307">
                            <w:pPr>
                              <w:pStyle w:val="Subtitle"/>
                            </w:pPr>
                            <w:bookmarkStart w:id="1" w:name="_Toc354402726"/>
                            <w:bookmarkStart w:id="2" w:name="_Toc354406832"/>
                            <w:r w:rsidRPr="002863D7">
                              <w:t xml:space="preserve">Australian Human Rights Commission Submission to the </w:t>
                            </w:r>
                            <w:r>
                              <w:t>ATTORNEY-GENERAL’s DEPARTMENT</w:t>
                            </w:r>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9pt;margin-top:157.2pt;width:483.7pt;height: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" filled="f" stroked="f" strokeweight=".5pt">
                <v:path arrowok="t"/>
                <v:textbox>
                  <w:txbxContent>
                    <w:p w:rsidR="00DD2AF0" w:rsidRDefault="00DD2AF0" w:rsidP="00A11307">
                      <w:pPr>
                        <w:pStyle w:val="Subtitle"/>
                      </w:pPr>
                    </w:p>
                    <w:p w:rsidR="00DD2AF0" w:rsidRDefault="00DD2AF0" w:rsidP="00A11307">
                      <w:pPr>
                        <w:pStyle w:val="Subtitle"/>
                      </w:pPr>
                    </w:p>
                    <w:p w:rsidR="00DD2AF0" w:rsidRPr="00B74219" w:rsidRDefault="00DD2AF0" w:rsidP="00A11307">
                      <w:pPr>
                        <w:pStyle w:val="Subtitle"/>
                      </w:pPr>
                      <w:bookmarkStart w:id="2" w:name="_Toc354402726"/>
                      <w:bookmarkStart w:id="3" w:name="_Toc354406832"/>
                      <w:r w:rsidRPr="002863D7">
                        <w:t xml:space="preserve">Australian Human Rights Commission Submission to the </w:t>
                      </w:r>
                      <w:r>
                        <w:t>ATTORNEY-GENERAL’s DEPARTMENT</w:t>
                      </w:r>
                      <w:bookmarkEnd w:id="2"/>
                      <w:bookmarkEnd w:id="3"/>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439FCEB" wp14:editId="1FA8A514">
                <wp:simplePos x="0" y="0"/>
                <wp:positionH relativeFrom="column">
                  <wp:posOffset>394970</wp:posOffset>
                </wp:positionH>
                <wp:positionV relativeFrom="paragraph">
                  <wp:posOffset>-48260</wp:posOffset>
                </wp:positionV>
                <wp:extent cx="5339715" cy="19621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9715" cy="1962150"/>
                        </a:xfrm>
                        <a:prstGeom prst="rect">
                          <a:avLst/>
                        </a:prstGeom>
                        <a:noFill/>
                        <a:ln w="6350">
                          <a:noFill/>
                        </a:ln>
                        <a:effectLst/>
                      </wps:spPr>
                      <wps:txbx>
                        <w:txbxContent>
                          <w:p w:rsidR="00A77555" w:rsidRDefault="00A77555" w:rsidP="00FD01B5">
                            <w:pPr>
                              <w:pStyle w:val="MainTitle"/>
                            </w:pPr>
                            <w:r>
                              <w:t>Australian Government Guidelines on the Recognition of Gender: Consultation Draft</w:t>
                            </w:r>
                          </w:p>
                          <w:p w:rsidR="00A77555" w:rsidRDefault="00A77555" w:rsidP="0085358C">
                            <w:pPr>
                              <w:pStyle w:val="MainTitle"/>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31.1pt;margin-top:-3.8pt;width:420.45pt;height:1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" filled="f" stroked="f" strokeweight=".5pt">
                <v:path arrowok="t"/>
                <v:textbox>
                  <w:txbxContent>
                    <w:p w:rsidR="00DD2AF0" w:rsidRDefault="00DD2AF0" w:rsidP="00FD01B5">
                      <w:pPr>
                        <w:pStyle w:val="MainTitle"/>
                      </w:pPr>
                      <w:r>
                        <w:t>Australian Government Guidelines on the Recognition of Gender: Consultation Draft</w:t>
                      </w:r>
                    </w:p>
                    <w:p w:rsidR="00DD2AF0" w:rsidRDefault="00DD2AF0" w:rsidP="0085358C">
                      <w:pPr>
                        <w:pStyle w:val="MainTitle"/>
                        <w:jc w:val="center"/>
                      </w:pPr>
                    </w:p>
                  </w:txbxContent>
                </v:textbox>
              </v:shape>
            </w:pict>
          </mc:Fallback>
        </mc:AlternateContent>
      </w:r>
      <w:r w:rsidR="009728B4">
        <w:rPr>
          <w:noProof/>
        </w:rPr>
        <mc:AlternateContent>
          <mc:Choice Requires="wps">
            <w:drawing>
              <wp:anchor distT="0" distB="0" distL="114300" distR="114300" simplePos="0" relativeHeight="251658752" behindDoc="0" locked="0" layoutInCell="1" allowOverlap="1" wp14:anchorId="212D5B19" wp14:editId="640C8DD8">
                <wp:simplePos x="0" y="0"/>
                <wp:positionH relativeFrom="column">
                  <wp:posOffset>1959610</wp:posOffset>
                </wp:positionH>
                <wp:positionV relativeFrom="paragraph">
                  <wp:posOffset>1996440</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A77555" w:rsidRPr="00B74219" w:rsidRDefault="00A77555" w:rsidP="002863D7">
                            <w:pPr>
                              <w:pStyle w:val="Date"/>
                            </w:pPr>
                            <w:r>
                              <w:t>April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154.3pt;margin-top:157.2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" filled="f" stroked="f" strokeweight=".5pt">
                <v:path arrowok="t"/>
                <v:textbox>
                  <w:txbxContent>
                    <w:p w:rsidR="00DD2AF0" w:rsidRPr="00B74219" w:rsidRDefault="00DD2AF0" w:rsidP="002863D7">
                      <w:pPr>
                        <w:pStyle w:val="Date"/>
                      </w:pPr>
                      <w:r>
                        <w:t>April 2013</w:t>
                      </w:r>
                    </w:p>
                  </w:txbxContent>
                </v:textbox>
              </v:shape>
            </w:pict>
          </mc:Fallback>
        </mc:AlternateContent>
      </w:r>
    </w:p>
    <w:p w:rsidR="00B924E6" w:rsidRDefault="00B924E6" w:rsidP="00CB47F9">
      <w:pPr>
        <w:jc w:val="both"/>
        <w:sectPr w:rsidR="00B924E6" w:rsidSect="00B24B1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28" w:right="1700" w:bottom="1134" w:left="1418" w:header="277" w:footer="415" w:gutter="0"/>
          <w:cols w:space="708"/>
          <w:titlePg/>
          <w:docGrid w:linePitch="360"/>
        </w:sectPr>
      </w:pPr>
      <w:bookmarkStart w:id="3" w:name="_Toc209316062"/>
      <w:bookmarkEnd w:id="3"/>
    </w:p>
    <w:p w:rsidR="00D90A40" w:rsidRDefault="00D90A40" w:rsidP="00CB47F9">
      <w:pPr>
        <w:spacing w:before="0" w:after="0"/>
        <w:jc w:val="both"/>
        <w:rPr>
          <w:b/>
          <w:sz w:val="28"/>
          <w:szCs w:val="28"/>
        </w:rPr>
      </w:pPr>
      <w:bookmarkStart w:id="4" w:name="_Toc207761830"/>
      <w:bookmarkStart w:id="5" w:name="_Toc209578266"/>
      <w:bookmarkStart w:id="6" w:name="_Toc209941766"/>
      <w:r w:rsidRPr="00907336">
        <w:rPr>
          <w:b/>
          <w:sz w:val="28"/>
          <w:szCs w:val="28"/>
        </w:rPr>
        <w:lastRenderedPageBreak/>
        <w:t>Table of Contents</w:t>
      </w:r>
    </w:p>
    <w:p w:rsidR="005D2C51" w:rsidRDefault="000F3A4C" w:rsidP="00DD2AF0">
      <w:pPr>
        <w:pStyle w:val="TOC2"/>
        <w:rPr>
          <w:rFonts w:asciiTheme="minorHAnsi" w:eastAsiaTheme="minorEastAsia" w:hAnsiTheme="minorHAnsi" w:cstheme="minorBidi"/>
          <w:b w:val="0"/>
          <w:szCs w:val="22"/>
        </w:rPr>
      </w:pPr>
      <w:r>
        <w:rPr>
          <w:bCs/>
          <w:i w:val="0"/>
        </w:rPr>
        <w:fldChar w:fldCharType="begin"/>
      </w:r>
      <w:r>
        <w:rPr>
          <w:bCs/>
          <w:i w:val="0"/>
        </w:rPr>
        <w:instrText xml:space="preserve"> TOC \o "1-3" \h \z \u </w:instrText>
      </w:r>
      <w:r>
        <w:rPr>
          <w:bCs/>
          <w:i w:val="0"/>
        </w:rPr>
        <w:fldChar w:fldCharType="separate"/>
      </w:r>
      <w:hyperlink w:anchor="_Toc354406833" w:history="1">
        <w:r w:rsidR="005D2C51" w:rsidRPr="009B29B6">
          <w:rPr>
            <w:rStyle w:val="Hyperlink"/>
          </w:rPr>
          <w:t>1</w:t>
        </w:r>
        <w:r w:rsidR="005D2C51">
          <w:rPr>
            <w:rFonts w:asciiTheme="minorHAnsi" w:eastAsiaTheme="minorEastAsia" w:hAnsiTheme="minorHAnsi" w:cstheme="minorBidi"/>
            <w:b w:val="0"/>
            <w:szCs w:val="22"/>
          </w:rPr>
          <w:tab/>
        </w:r>
        <w:r w:rsidR="005D2C51" w:rsidRPr="009B29B6">
          <w:rPr>
            <w:rStyle w:val="Hyperlink"/>
          </w:rPr>
          <w:t>Introduction</w:t>
        </w:r>
        <w:r w:rsidR="005D2C51">
          <w:rPr>
            <w:webHidden/>
          </w:rPr>
          <w:tab/>
        </w:r>
        <w:r w:rsidR="005D2C51">
          <w:rPr>
            <w:webHidden/>
          </w:rPr>
          <w:fldChar w:fldCharType="begin"/>
        </w:r>
        <w:r w:rsidR="005D2C51">
          <w:rPr>
            <w:webHidden/>
          </w:rPr>
          <w:instrText xml:space="preserve"> PAGEREF _Toc354406833 \h </w:instrText>
        </w:r>
        <w:r w:rsidR="005D2C51">
          <w:rPr>
            <w:webHidden/>
          </w:rPr>
        </w:r>
        <w:r w:rsidR="005D2C51">
          <w:rPr>
            <w:webHidden/>
          </w:rPr>
          <w:fldChar w:fldCharType="separate"/>
        </w:r>
        <w:r w:rsidR="00880EAA">
          <w:rPr>
            <w:webHidden/>
          </w:rPr>
          <w:t>3</w:t>
        </w:r>
        <w:r w:rsidR="005D2C51">
          <w:rPr>
            <w:webHidden/>
          </w:rPr>
          <w:fldChar w:fldCharType="end"/>
        </w:r>
      </w:hyperlink>
    </w:p>
    <w:p w:rsidR="005D2C51" w:rsidRDefault="003E232F">
      <w:pPr>
        <w:pStyle w:val="TOC1"/>
        <w:rPr>
          <w:rFonts w:asciiTheme="minorHAnsi" w:eastAsiaTheme="minorEastAsia" w:hAnsiTheme="minorHAnsi" w:cstheme="minorBidi"/>
          <w:b w:val="0"/>
          <w:sz w:val="22"/>
          <w:szCs w:val="22"/>
        </w:rPr>
      </w:pPr>
      <w:hyperlink w:anchor="_Toc354406834" w:history="1">
        <w:r w:rsidR="005D2C51" w:rsidRPr="009B29B6">
          <w:rPr>
            <w:rStyle w:val="Hyperlink"/>
          </w:rPr>
          <w:t>2</w:t>
        </w:r>
        <w:r w:rsidR="005D2C51">
          <w:rPr>
            <w:rFonts w:asciiTheme="minorHAnsi" w:eastAsiaTheme="minorEastAsia" w:hAnsiTheme="minorHAnsi" w:cstheme="minorBidi"/>
            <w:b w:val="0"/>
            <w:sz w:val="22"/>
            <w:szCs w:val="22"/>
          </w:rPr>
          <w:tab/>
        </w:r>
        <w:r w:rsidR="005D2C51" w:rsidRPr="009B29B6">
          <w:rPr>
            <w:rStyle w:val="Hyperlink"/>
          </w:rPr>
          <w:t>Summary</w:t>
        </w:r>
        <w:r w:rsidR="005D2C51">
          <w:rPr>
            <w:webHidden/>
          </w:rPr>
          <w:tab/>
        </w:r>
        <w:r w:rsidR="005D2C51">
          <w:rPr>
            <w:webHidden/>
          </w:rPr>
          <w:fldChar w:fldCharType="begin"/>
        </w:r>
        <w:r w:rsidR="005D2C51">
          <w:rPr>
            <w:webHidden/>
          </w:rPr>
          <w:instrText xml:space="preserve"> PAGEREF _Toc354406834 \h </w:instrText>
        </w:r>
        <w:r w:rsidR="005D2C51">
          <w:rPr>
            <w:webHidden/>
          </w:rPr>
        </w:r>
        <w:r w:rsidR="005D2C51">
          <w:rPr>
            <w:webHidden/>
          </w:rPr>
          <w:fldChar w:fldCharType="separate"/>
        </w:r>
        <w:r w:rsidR="00880EAA">
          <w:rPr>
            <w:webHidden/>
          </w:rPr>
          <w:t>3</w:t>
        </w:r>
        <w:r w:rsidR="005D2C51">
          <w:rPr>
            <w:webHidden/>
          </w:rPr>
          <w:fldChar w:fldCharType="end"/>
        </w:r>
      </w:hyperlink>
    </w:p>
    <w:p w:rsidR="005D2C51" w:rsidRDefault="003E232F">
      <w:pPr>
        <w:pStyle w:val="TOC1"/>
        <w:rPr>
          <w:rFonts w:asciiTheme="minorHAnsi" w:eastAsiaTheme="minorEastAsia" w:hAnsiTheme="minorHAnsi" w:cstheme="minorBidi"/>
          <w:b w:val="0"/>
          <w:sz w:val="22"/>
          <w:szCs w:val="22"/>
        </w:rPr>
      </w:pPr>
      <w:hyperlink w:anchor="_Toc354406835" w:history="1">
        <w:r w:rsidR="005D2C51" w:rsidRPr="009B29B6">
          <w:rPr>
            <w:rStyle w:val="Hyperlink"/>
          </w:rPr>
          <w:t>3</w:t>
        </w:r>
        <w:r w:rsidR="005D2C51">
          <w:rPr>
            <w:rFonts w:asciiTheme="minorHAnsi" w:eastAsiaTheme="minorEastAsia" w:hAnsiTheme="minorHAnsi" w:cstheme="minorBidi"/>
            <w:b w:val="0"/>
            <w:sz w:val="22"/>
            <w:szCs w:val="22"/>
          </w:rPr>
          <w:tab/>
        </w:r>
        <w:r w:rsidR="005D2C51" w:rsidRPr="009B29B6">
          <w:rPr>
            <w:rStyle w:val="Hyperlink"/>
          </w:rPr>
          <w:t>Recommendations</w:t>
        </w:r>
        <w:r w:rsidR="005D2C51">
          <w:rPr>
            <w:webHidden/>
          </w:rPr>
          <w:tab/>
        </w:r>
        <w:r w:rsidR="005D2C51">
          <w:rPr>
            <w:webHidden/>
          </w:rPr>
          <w:fldChar w:fldCharType="begin"/>
        </w:r>
        <w:r w:rsidR="005D2C51">
          <w:rPr>
            <w:webHidden/>
          </w:rPr>
          <w:instrText xml:space="preserve"> PAGEREF _Toc354406835 \h </w:instrText>
        </w:r>
        <w:r w:rsidR="005D2C51">
          <w:rPr>
            <w:webHidden/>
          </w:rPr>
        </w:r>
        <w:r w:rsidR="005D2C51">
          <w:rPr>
            <w:webHidden/>
          </w:rPr>
          <w:fldChar w:fldCharType="separate"/>
        </w:r>
        <w:r w:rsidR="00880EAA">
          <w:rPr>
            <w:webHidden/>
          </w:rPr>
          <w:t>4</w:t>
        </w:r>
        <w:r w:rsidR="005D2C51">
          <w:rPr>
            <w:webHidden/>
          </w:rPr>
          <w:fldChar w:fldCharType="end"/>
        </w:r>
      </w:hyperlink>
    </w:p>
    <w:p w:rsidR="005D2C51" w:rsidRDefault="003E232F">
      <w:pPr>
        <w:pStyle w:val="TOC1"/>
        <w:rPr>
          <w:rFonts w:asciiTheme="minorHAnsi" w:eastAsiaTheme="minorEastAsia" w:hAnsiTheme="minorHAnsi" w:cstheme="minorBidi"/>
          <w:b w:val="0"/>
          <w:sz w:val="22"/>
          <w:szCs w:val="22"/>
        </w:rPr>
      </w:pPr>
      <w:hyperlink w:anchor="_Toc354406836" w:history="1">
        <w:r w:rsidR="005D2C51" w:rsidRPr="009B29B6">
          <w:rPr>
            <w:rStyle w:val="Hyperlink"/>
          </w:rPr>
          <w:t>4</w:t>
        </w:r>
        <w:r w:rsidR="005D2C51">
          <w:rPr>
            <w:rFonts w:asciiTheme="minorHAnsi" w:eastAsiaTheme="minorEastAsia" w:hAnsiTheme="minorHAnsi" w:cstheme="minorBidi"/>
            <w:b w:val="0"/>
            <w:sz w:val="22"/>
            <w:szCs w:val="22"/>
          </w:rPr>
          <w:tab/>
        </w:r>
        <w:r w:rsidR="005D2C51" w:rsidRPr="009B29B6">
          <w:rPr>
            <w:rStyle w:val="Hyperlink"/>
          </w:rPr>
          <w:t>The Sex Files Report</w:t>
        </w:r>
        <w:r w:rsidR="005D2C51">
          <w:rPr>
            <w:webHidden/>
          </w:rPr>
          <w:tab/>
        </w:r>
        <w:r w:rsidR="005D2C51">
          <w:rPr>
            <w:webHidden/>
          </w:rPr>
          <w:fldChar w:fldCharType="begin"/>
        </w:r>
        <w:r w:rsidR="005D2C51">
          <w:rPr>
            <w:webHidden/>
          </w:rPr>
          <w:instrText xml:space="preserve"> PAGEREF _Toc354406836 \h </w:instrText>
        </w:r>
        <w:r w:rsidR="005D2C51">
          <w:rPr>
            <w:webHidden/>
          </w:rPr>
        </w:r>
        <w:r w:rsidR="005D2C51">
          <w:rPr>
            <w:webHidden/>
          </w:rPr>
          <w:fldChar w:fldCharType="separate"/>
        </w:r>
        <w:r w:rsidR="00880EAA">
          <w:rPr>
            <w:webHidden/>
          </w:rPr>
          <w:t>4</w:t>
        </w:r>
        <w:r w:rsidR="005D2C51">
          <w:rPr>
            <w:webHidden/>
          </w:rPr>
          <w:fldChar w:fldCharType="end"/>
        </w:r>
      </w:hyperlink>
    </w:p>
    <w:p w:rsidR="005D2C51" w:rsidRDefault="003E232F">
      <w:pPr>
        <w:pStyle w:val="TOC1"/>
        <w:rPr>
          <w:rFonts w:asciiTheme="minorHAnsi" w:eastAsiaTheme="minorEastAsia" w:hAnsiTheme="minorHAnsi" w:cstheme="minorBidi"/>
          <w:b w:val="0"/>
          <w:sz w:val="22"/>
          <w:szCs w:val="22"/>
        </w:rPr>
      </w:pPr>
      <w:hyperlink w:anchor="_Toc354406837" w:history="1">
        <w:r w:rsidR="005D2C51" w:rsidRPr="009B29B6">
          <w:rPr>
            <w:rStyle w:val="Hyperlink"/>
          </w:rPr>
          <w:t>5</w:t>
        </w:r>
        <w:r w:rsidR="005D2C51">
          <w:rPr>
            <w:rFonts w:asciiTheme="minorHAnsi" w:eastAsiaTheme="minorEastAsia" w:hAnsiTheme="minorHAnsi" w:cstheme="minorBidi"/>
            <w:b w:val="0"/>
            <w:sz w:val="22"/>
            <w:szCs w:val="22"/>
          </w:rPr>
          <w:tab/>
        </w:r>
        <w:r w:rsidR="005D2C51" w:rsidRPr="009B29B6">
          <w:rPr>
            <w:rStyle w:val="Hyperlink"/>
          </w:rPr>
          <w:t>Human rights and the recognition of intersex and gender identity</w:t>
        </w:r>
        <w:r w:rsidR="005D2C51">
          <w:rPr>
            <w:webHidden/>
          </w:rPr>
          <w:tab/>
        </w:r>
        <w:r w:rsidR="005D2C51">
          <w:rPr>
            <w:webHidden/>
          </w:rPr>
          <w:fldChar w:fldCharType="begin"/>
        </w:r>
        <w:r w:rsidR="005D2C51">
          <w:rPr>
            <w:webHidden/>
          </w:rPr>
          <w:instrText xml:space="preserve"> PAGEREF _Toc354406837 \h </w:instrText>
        </w:r>
        <w:r w:rsidR="005D2C51">
          <w:rPr>
            <w:webHidden/>
          </w:rPr>
        </w:r>
        <w:r w:rsidR="005D2C51">
          <w:rPr>
            <w:webHidden/>
          </w:rPr>
          <w:fldChar w:fldCharType="separate"/>
        </w:r>
        <w:r w:rsidR="00880EAA">
          <w:rPr>
            <w:webHidden/>
          </w:rPr>
          <w:t>5</w:t>
        </w:r>
        <w:r w:rsidR="005D2C51">
          <w:rPr>
            <w:webHidden/>
          </w:rPr>
          <w:fldChar w:fldCharType="end"/>
        </w:r>
      </w:hyperlink>
    </w:p>
    <w:p w:rsidR="005D2C51" w:rsidRDefault="003E232F">
      <w:pPr>
        <w:pStyle w:val="TOC1"/>
        <w:rPr>
          <w:rFonts w:asciiTheme="minorHAnsi" w:eastAsiaTheme="minorEastAsia" w:hAnsiTheme="minorHAnsi" w:cstheme="minorBidi"/>
          <w:b w:val="0"/>
          <w:sz w:val="22"/>
          <w:szCs w:val="22"/>
        </w:rPr>
      </w:pPr>
      <w:hyperlink w:anchor="_Toc354406838" w:history="1">
        <w:r w:rsidR="005D2C51" w:rsidRPr="009B29B6">
          <w:rPr>
            <w:rStyle w:val="Hyperlink"/>
          </w:rPr>
          <w:t>6</w:t>
        </w:r>
        <w:r w:rsidR="005D2C51">
          <w:rPr>
            <w:rFonts w:asciiTheme="minorHAnsi" w:eastAsiaTheme="minorEastAsia" w:hAnsiTheme="minorHAnsi" w:cstheme="minorBidi"/>
            <w:b w:val="0"/>
            <w:sz w:val="22"/>
            <w:szCs w:val="22"/>
          </w:rPr>
          <w:tab/>
        </w:r>
        <w:r w:rsidR="005D2C51" w:rsidRPr="009B29B6">
          <w:rPr>
            <w:rStyle w:val="Hyperlink"/>
          </w:rPr>
          <w:t>The Guidelines</w:t>
        </w:r>
        <w:r w:rsidR="005D2C51">
          <w:rPr>
            <w:webHidden/>
          </w:rPr>
          <w:tab/>
        </w:r>
        <w:r w:rsidR="005D2C51">
          <w:rPr>
            <w:webHidden/>
          </w:rPr>
          <w:fldChar w:fldCharType="begin"/>
        </w:r>
        <w:r w:rsidR="005D2C51">
          <w:rPr>
            <w:webHidden/>
          </w:rPr>
          <w:instrText xml:space="preserve"> PAGEREF _Toc354406838 \h </w:instrText>
        </w:r>
        <w:r w:rsidR="005D2C51">
          <w:rPr>
            <w:webHidden/>
          </w:rPr>
        </w:r>
        <w:r w:rsidR="005D2C51">
          <w:rPr>
            <w:webHidden/>
          </w:rPr>
          <w:fldChar w:fldCharType="separate"/>
        </w:r>
        <w:r w:rsidR="00880EAA">
          <w:rPr>
            <w:webHidden/>
          </w:rPr>
          <w:t>6</w:t>
        </w:r>
        <w:r w:rsidR="005D2C51">
          <w:rPr>
            <w:webHidden/>
          </w:rPr>
          <w:fldChar w:fldCharType="end"/>
        </w:r>
      </w:hyperlink>
    </w:p>
    <w:p w:rsidR="005D2C51" w:rsidRDefault="003E232F">
      <w:pPr>
        <w:pStyle w:val="TOC2"/>
        <w:rPr>
          <w:rFonts w:asciiTheme="minorHAnsi" w:eastAsiaTheme="minorEastAsia" w:hAnsiTheme="minorHAnsi" w:cstheme="minorBidi"/>
          <w:b w:val="0"/>
          <w:i w:val="0"/>
          <w:szCs w:val="22"/>
        </w:rPr>
      </w:pPr>
      <w:hyperlink w:anchor="_Toc354406839" w:history="1">
        <w:r w:rsidR="005D2C51" w:rsidRPr="009B29B6">
          <w:rPr>
            <w:rStyle w:val="Hyperlink"/>
          </w:rPr>
          <w:t>6.1</w:t>
        </w:r>
        <w:r w:rsidR="005D2C51">
          <w:rPr>
            <w:rFonts w:asciiTheme="minorHAnsi" w:eastAsiaTheme="minorEastAsia" w:hAnsiTheme="minorHAnsi" w:cstheme="minorBidi"/>
            <w:b w:val="0"/>
            <w:i w:val="0"/>
            <w:szCs w:val="22"/>
          </w:rPr>
          <w:tab/>
        </w:r>
        <w:r w:rsidR="005D2C51" w:rsidRPr="009B29B6">
          <w:rPr>
            <w:rStyle w:val="Hyperlink"/>
          </w:rPr>
          <w:t>Sex and Gender Classification</w:t>
        </w:r>
        <w:r w:rsidR="005D2C51">
          <w:rPr>
            <w:webHidden/>
          </w:rPr>
          <w:tab/>
        </w:r>
        <w:r w:rsidR="005D2C51">
          <w:rPr>
            <w:webHidden/>
          </w:rPr>
          <w:fldChar w:fldCharType="begin"/>
        </w:r>
        <w:r w:rsidR="005D2C51">
          <w:rPr>
            <w:webHidden/>
          </w:rPr>
          <w:instrText xml:space="preserve"> PAGEREF _Toc354406839 \h </w:instrText>
        </w:r>
        <w:r w:rsidR="005D2C51">
          <w:rPr>
            <w:webHidden/>
          </w:rPr>
        </w:r>
        <w:r w:rsidR="005D2C51">
          <w:rPr>
            <w:webHidden/>
          </w:rPr>
          <w:fldChar w:fldCharType="separate"/>
        </w:r>
        <w:r w:rsidR="00880EAA">
          <w:rPr>
            <w:webHidden/>
          </w:rPr>
          <w:t>6</w:t>
        </w:r>
        <w:r w:rsidR="005D2C51">
          <w:rPr>
            <w:webHidden/>
          </w:rPr>
          <w:fldChar w:fldCharType="end"/>
        </w:r>
      </w:hyperlink>
    </w:p>
    <w:p w:rsidR="005D2C51" w:rsidRDefault="003E232F">
      <w:pPr>
        <w:pStyle w:val="TOC2"/>
        <w:rPr>
          <w:rFonts w:asciiTheme="minorHAnsi" w:eastAsiaTheme="minorEastAsia" w:hAnsiTheme="minorHAnsi" w:cstheme="minorBidi"/>
          <w:b w:val="0"/>
          <w:i w:val="0"/>
          <w:szCs w:val="22"/>
        </w:rPr>
      </w:pPr>
      <w:hyperlink w:anchor="_Toc354406840" w:history="1">
        <w:r w:rsidR="005D2C51" w:rsidRPr="009B29B6">
          <w:rPr>
            <w:rStyle w:val="Hyperlink"/>
          </w:rPr>
          <w:t>6.2</w:t>
        </w:r>
        <w:r w:rsidR="005D2C51">
          <w:rPr>
            <w:rFonts w:asciiTheme="minorHAnsi" w:eastAsiaTheme="minorEastAsia" w:hAnsiTheme="minorHAnsi" w:cstheme="minorBidi"/>
            <w:b w:val="0"/>
            <w:i w:val="0"/>
            <w:szCs w:val="22"/>
          </w:rPr>
          <w:tab/>
        </w:r>
        <w:r w:rsidR="005D2C51" w:rsidRPr="009B29B6">
          <w:rPr>
            <w:rStyle w:val="Hyperlink"/>
          </w:rPr>
          <w:t>Proof of Sex and Gender</w:t>
        </w:r>
        <w:r w:rsidR="005D2C51">
          <w:rPr>
            <w:webHidden/>
          </w:rPr>
          <w:tab/>
        </w:r>
        <w:r w:rsidR="005D2C51">
          <w:rPr>
            <w:webHidden/>
          </w:rPr>
          <w:fldChar w:fldCharType="begin"/>
        </w:r>
        <w:r w:rsidR="005D2C51">
          <w:rPr>
            <w:webHidden/>
          </w:rPr>
          <w:instrText xml:space="preserve"> PAGEREF _Toc354406840 \h </w:instrText>
        </w:r>
        <w:r w:rsidR="005D2C51">
          <w:rPr>
            <w:webHidden/>
          </w:rPr>
        </w:r>
        <w:r w:rsidR="005D2C51">
          <w:rPr>
            <w:webHidden/>
          </w:rPr>
          <w:fldChar w:fldCharType="separate"/>
        </w:r>
        <w:r w:rsidR="00880EAA">
          <w:rPr>
            <w:webHidden/>
          </w:rPr>
          <w:t>7</w:t>
        </w:r>
        <w:r w:rsidR="005D2C51">
          <w:rPr>
            <w:webHidden/>
          </w:rPr>
          <w:fldChar w:fldCharType="end"/>
        </w:r>
      </w:hyperlink>
    </w:p>
    <w:p w:rsidR="005D2C51" w:rsidRDefault="003E232F">
      <w:pPr>
        <w:pStyle w:val="TOC2"/>
        <w:rPr>
          <w:rFonts w:asciiTheme="minorHAnsi" w:eastAsiaTheme="minorEastAsia" w:hAnsiTheme="minorHAnsi" w:cstheme="minorBidi"/>
          <w:b w:val="0"/>
          <w:i w:val="0"/>
          <w:szCs w:val="22"/>
        </w:rPr>
      </w:pPr>
      <w:hyperlink w:anchor="_Toc354406841" w:history="1">
        <w:r w:rsidR="005D2C51" w:rsidRPr="009B29B6">
          <w:rPr>
            <w:rStyle w:val="Hyperlink"/>
          </w:rPr>
          <w:t>6.3</w:t>
        </w:r>
        <w:r w:rsidR="005D2C51">
          <w:rPr>
            <w:rFonts w:asciiTheme="minorHAnsi" w:eastAsiaTheme="minorEastAsia" w:hAnsiTheme="minorHAnsi" w:cstheme="minorBidi"/>
            <w:b w:val="0"/>
            <w:i w:val="0"/>
            <w:szCs w:val="22"/>
          </w:rPr>
          <w:tab/>
        </w:r>
        <w:r w:rsidR="005D2C51" w:rsidRPr="009B29B6">
          <w:rPr>
            <w:rStyle w:val="Hyperlink"/>
          </w:rPr>
          <w:t>Collecting Sex and Gender Information</w:t>
        </w:r>
        <w:r w:rsidR="005D2C51">
          <w:rPr>
            <w:webHidden/>
          </w:rPr>
          <w:tab/>
        </w:r>
        <w:r w:rsidR="005D2C51">
          <w:rPr>
            <w:webHidden/>
          </w:rPr>
          <w:fldChar w:fldCharType="begin"/>
        </w:r>
        <w:r w:rsidR="005D2C51">
          <w:rPr>
            <w:webHidden/>
          </w:rPr>
          <w:instrText xml:space="preserve"> PAGEREF _Toc354406841 \h </w:instrText>
        </w:r>
        <w:r w:rsidR="005D2C51">
          <w:rPr>
            <w:webHidden/>
          </w:rPr>
        </w:r>
        <w:r w:rsidR="005D2C51">
          <w:rPr>
            <w:webHidden/>
          </w:rPr>
          <w:fldChar w:fldCharType="separate"/>
        </w:r>
        <w:r w:rsidR="00880EAA">
          <w:rPr>
            <w:webHidden/>
          </w:rPr>
          <w:t>7</w:t>
        </w:r>
        <w:r w:rsidR="005D2C51">
          <w:rPr>
            <w:webHidden/>
          </w:rPr>
          <w:fldChar w:fldCharType="end"/>
        </w:r>
      </w:hyperlink>
    </w:p>
    <w:p w:rsidR="005D2C51" w:rsidRDefault="003E232F">
      <w:pPr>
        <w:pStyle w:val="TOC2"/>
        <w:rPr>
          <w:rFonts w:asciiTheme="minorHAnsi" w:eastAsiaTheme="minorEastAsia" w:hAnsiTheme="minorHAnsi" w:cstheme="minorBidi"/>
          <w:b w:val="0"/>
          <w:i w:val="0"/>
          <w:szCs w:val="22"/>
        </w:rPr>
      </w:pPr>
      <w:hyperlink w:anchor="_Toc354406842" w:history="1">
        <w:r w:rsidR="005D2C51" w:rsidRPr="009B29B6">
          <w:rPr>
            <w:rStyle w:val="Hyperlink"/>
          </w:rPr>
          <w:t>6.4</w:t>
        </w:r>
        <w:r w:rsidR="005D2C51">
          <w:rPr>
            <w:rFonts w:asciiTheme="minorHAnsi" w:eastAsiaTheme="minorEastAsia" w:hAnsiTheme="minorHAnsi" w:cstheme="minorBidi"/>
            <w:b w:val="0"/>
            <w:i w:val="0"/>
            <w:szCs w:val="22"/>
          </w:rPr>
          <w:tab/>
        </w:r>
        <w:r w:rsidR="005D2C51" w:rsidRPr="009B29B6">
          <w:rPr>
            <w:rStyle w:val="Hyperlink"/>
          </w:rPr>
          <w:t>Queries and complaints</w:t>
        </w:r>
        <w:r w:rsidR="005D2C51">
          <w:rPr>
            <w:webHidden/>
          </w:rPr>
          <w:tab/>
        </w:r>
        <w:r w:rsidR="005D2C51">
          <w:rPr>
            <w:webHidden/>
          </w:rPr>
          <w:fldChar w:fldCharType="begin"/>
        </w:r>
        <w:r w:rsidR="005D2C51">
          <w:rPr>
            <w:webHidden/>
          </w:rPr>
          <w:instrText xml:space="preserve"> PAGEREF _Toc354406842 \h </w:instrText>
        </w:r>
        <w:r w:rsidR="005D2C51">
          <w:rPr>
            <w:webHidden/>
          </w:rPr>
        </w:r>
        <w:r w:rsidR="005D2C51">
          <w:rPr>
            <w:webHidden/>
          </w:rPr>
          <w:fldChar w:fldCharType="separate"/>
        </w:r>
        <w:r w:rsidR="00880EAA">
          <w:rPr>
            <w:webHidden/>
          </w:rPr>
          <w:t>8</w:t>
        </w:r>
        <w:r w:rsidR="005D2C51">
          <w:rPr>
            <w:webHidden/>
          </w:rPr>
          <w:fldChar w:fldCharType="end"/>
        </w:r>
      </w:hyperlink>
    </w:p>
    <w:p w:rsidR="005D2C51" w:rsidRDefault="003E232F">
      <w:pPr>
        <w:pStyle w:val="TOC2"/>
        <w:rPr>
          <w:rFonts w:asciiTheme="minorHAnsi" w:eastAsiaTheme="minorEastAsia" w:hAnsiTheme="minorHAnsi" w:cstheme="minorBidi"/>
          <w:b w:val="0"/>
          <w:i w:val="0"/>
          <w:szCs w:val="22"/>
        </w:rPr>
      </w:pPr>
      <w:hyperlink w:anchor="_Toc354406843" w:history="1">
        <w:r w:rsidR="005D2C51" w:rsidRPr="009B29B6">
          <w:rPr>
            <w:rStyle w:val="Hyperlink"/>
          </w:rPr>
          <w:t>6.5</w:t>
        </w:r>
        <w:r w:rsidR="005D2C51">
          <w:rPr>
            <w:rFonts w:asciiTheme="minorHAnsi" w:eastAsiaTheme="minorEastAsia" w:hAnsiTheme="minorHAnsi" w:cstheme="minorBidi"/>
            <w:b w:val="0"/>
            <w:i w:val="0"/>
            <w:szCs w:val="22"/>
          </w:rPr>
          <w:tab/>
        </w:r>
        <w:r w:rsidR="005D2C51" w:rsidRPr="009B29B6">
          <w:rPr>
            <w:rStyle w:val="Hyperlink"/>
          </w:rPr>
          <w:t>Implementation</w:t>
        </w:r>
        <w:r w:rsidR="005D2C51">
          <w:rPr>
            <w:webHidden/>
          </w:rPr>
          <w:tab/>
        </w:r>
        <w:r w:rsidR="005D2C51">
          <w:rPr>
            <w:webHidden/>
          </w:rPr>
          <w:fldChar w:fldCharType="begin"/>
        </w:r>
        <w:r w:rsidR="005D2C51">
          <w:rPr>
            <w:webHidden/>
          </w:rPr>
          <w:instrText xml:space="preserve"> PAGEREF _Toc354406843 \h </w:instrText>
        </w:r>
        <w:r w:rsidR="005D2C51">
          <w:rPr>
            <w:webHidden/>
          </w:rPr>
        </w:r>
        <w:r w:rsidR="005D2C51">
          <w:rPr>
            <w:webHidden/>
          </w:rPr>
          <w:fldChar w:fldCharType="separate"/>
        </w:r>
        <w:r w:rsidR="00880EAA">
          <w:rPr>
            <w:webHidden/>
          </w:rPr>
          <w:t>8</w:t>
        </w:r>
        <w:r w:rsidR="005D2C51">
          <w:rPr>
            <w:webHidden/>
          </w:rPr>
          <w:fldChar w:fldCharType="end"/>
        </w:r>
      </w:hyperlink>
    </w:p>
    <w:p w:rsidR="005132AC" w:rsidRDefault="000F3A4C" w:rsidP="005132AC">
      <w:r>
        <w:rPr>
          <w:i/>
          <w:noProof/>
          <w:sz w:val="22"/>
        </w:rPr>
        <w:fldChar w:fldCharType="end"/>
      </w:r>
      <w:r w:rsidR="007D4107">
        <w:t xml:space="preserve"> </w:t>
      </w:r>
      <w:r w:rsidR="007411DF">
        <w:br w:type="page"/>
      </w:r>
    </w:p>
    <w:p w:rsidR="00D90A40" w:rsidRPr="005132AC" w:rsidRDefault="00D90A40" w:rsidP="005132AC">
      <w:pPr>
        <w:pStyle w:val="Heading1"/>
      </w:pPr>
      <w:bookmarkStart w:id="7" w:name="_Toc354406833"/>
      <w:r w:rsidRPr="005132AC">
        <w:lastRenderedPageBreak/>
        <w:t>Introduction</w:t>
      </w:r>
      <w:bookmarkEnd w:id="7"/>
      <w:r w:rsidRPr="005132AC">
        <w:t xml:space="preserve"> </w:t>
      </w:r>
    </w:p>
    <w:p w:rsidR="00B956B9" w:rsidRDefault="00874594" w:rsidP="00196CCB">
      <w:pPr>
        <w:pStyle w:val="SubmissionNormal"/>
        <w:ind w:left="1276" w:hanging="709"/>
        <w:jc w:val="both"/>
      </w:pPr>
      <w:r w:rsidRPr="00874594">
        <w:t xml:space="preserve">The </w:t>
      </w:r>
      <w:r w:rsidR="00C77453">
        <w:t>Australian Human Rights Commiss</w:t>
      </w:r>
      <w:r w:rsidR="000D232A">
        <w:t xml:space="preserve">ion makes this submission to the Attorney-General’s Department consultation on the </w:t>
      </w:r>
      <w:r w:rsidR="000D232A" w:rsidRPr="003279DE">
        <w:rPr>
          <w:i/>
        </w:rPr>
        <w:t xml:space="preserve">Australian Government Guidelines on the Recognition of Sex and Gender </w:t>
      </w:r>
      <w:r w:rsidR="004000B7" w:rsidRPr="003279DE">
        <w:rPr>
          <w:i/>
        </w:rPr>
        <w:t>Consultation Draft</w:t>
      </w:r>
      <w:r w:rsidR="004000B7">
        <w:t xml:space="preserve"> </w:t>
      </w:r>
      <w:r w:rsidR="000D232A">
        <w:t>(Guidelines).</w:t>
      </w:r>
    </w:p>
    <w:p w:rsidR="00816151" w:rsidRPr="00553D13" w:rsidRDefault="00F8520F" w:rsidP="00152AC6">
      <w:pPr>
        <w:pStyle w:val="SubmissionNormal"/>
        <w:ind w:left="1276" w:hanging="709"/>
        <w:jc w:val="both"/>
      </w:pPr>
      <w:r>
        <w:t xml:space="preserve">The </w:t>
      </w:r>
      <w:r w:rsidR="00152AC6">
        <w:t xml:space="preserve">Guidelines are a response to the Commission’s </w:t>
      </w:r>
      <w:r w:rsidR="005610D6">
        <w:rPr>
          <w:i/>
        </w:rPr>
        <w:t xml:space="preserve">Sex Files </w:t>
      </w:r>
      <w:r w:rsidR="005610D6">
        <w:t>concluding paper</w:t>
      </w:r>
      <w:r w:rsidR="00152AC6">
        <w:t xml:space="preserve">. </w:t>
      </w:r>
      <w:r w:rsidR="000D232A" w:rsidRPr="00152AC6">
        <w:t>The</w:t>
      </w:r>
      <w:r w:rsidR="000D232A">
        <w:t xml:space="preserve"> Commission commends the Australian Government for </w:t>
      </w:r>
      <w:r w:rsidR="00AE5CC1">
        <w:t>introducing</w:t>
      </w:r>
      <w:r w:rsidR="00152AC6">
        <w:t xml:space="preserve"> a reform </w:t>
      </w:r>
      <w:r w:rsidR="00AE5CC1">
        <w:t>which will make it easier for individuals</w:t>
      </w:r>
      <w:r w:rsidR="00152AC6">
        <w:t xml:space="preserve"> to have their sex</w:t>
      </w:r>
      <w:r w:rsidR="002B6014">
        <w:t xml:space="preserve"> and</w:t>
      </w:r>
      <w:r w:rsidR="00152AC6">
        <w:t>/</w:t>
      </w:r>
      <w:r w:rsidR="002B6014">
        <w:t xml:space="preserve">or </w:t>
      </w:r>
      <w:r w:rsidR="00152AC6">
        <w:t>gender recognised by the Government. In conjunction with the introduction of the Sex Discrimination Amendment (Sexual Orientation, Gender Identity and Intersex Status) Bill 2013 (Cth)</w:t>
      </w:r>
      <w:r w:rsidR="00A549E0">
        <w:t xml:space="preserve"> (SDA Bill)</w:t>
      </w:r>
      <w:r w:rsidR="00152AC6">
        <w:t xml:space="preserve">, </w:t>
      </w:r>
      <w:r w:rsidR="00AE5CC1">
        <w:t xml:space="preserve">the Guidelines represent </w:t>
      </w:r>
      <w:r w:rsidR="002B6014">
        <w:t xml:space="preserve">an </w:t>
      </w:r>
      <w:r w:rsidR="00AE5CC1">
        <w:t>important step forward for people discriminated against on the basis of their gender identity or because they are intersex.</w:t>
      </w:r>
    </w:p>
    <w:p w:rsidR="00816151" w:rsidRDefault="00816151" w:rsidP="00286200">
      <w:pPr>
        <w:pStyle w:val="Heading1"/>
      </w:pPr>
      <w:bookmarkStart w:id="8" w:name="_Toc343004750"/>
      <w:bookmarkStart w:id="9" w:name="_Toc354406834"/>
      <w:bookmarkEnd w:id="8"/>
      <w:r>
        <w:t>Summary</w:t>
      </w:r>
      <w:bookmarkEnd w:id="9"/>
    </w:p>
    <w:p w:rsidR="00062864" w:rsidRDefault="00062864" w:rsidP="00062864">
      <w:pPr>
        <w:pStyle w:val="SubmissionNormal"/>
        <w:ind w:hanging="717"/>
        <w:jc w:val="both"/>
      </w:pPr>
      <w:r>
        <w:t xml:space="preserve">In 2009 the Commission consulted on the legal recognition of sex and gender in official documents and government records. The consultation revealed that there are significant limitations in the way that official documents and government records record sex and gender. The result of the consultation was the </w:t>
      </w:r>
      <w:r>
        <w:rPr>
          <w:i/>
        </w:rPr>
        <w:t xml:space="preserve">Sex Files </w:t>
      </w:r>
      <w:r>
        <w:t>concluding paper which included 15 recommendations.</w:t>
      </w:r>
    </w:p>
    <w:p w:rsidR="00062864" w:rsidRDefault="00062864" w:rsidP="00062864">
      <w:pPr>
        <w:pStyle w:val="SubmissionNormal"/>
        <w:ind w:hanging="717"/>
        <w:jc w:val="both"/>
      </w:pPr>
      <w:r>
        <w:t>These recommendations included that the ‘federal government should consider the development of national guidelines concerning the collection of sex and gender information from individuals’.</w:t>
      </w:r>
      <w:r>
        <w:rPr>
          <w:rStyle w:val="EndnoteReference"/>
        </w:rPr>
        <w:endnoteReference w:id="1"/>
      </w:r>
      <w:r>
        <w:t xml:space="preserve"> The Commission </w:t>
      </w:r>
      <w:r w:rsidR="00892597">
        <w:t>is encouraged</w:t>
      </w:r>
      <w:r>
        <w:t xml:space="preserve"> to see the Government develop the Guidelines in response to this recommendation. The Commission supports the adoption</w:t>
      </w:r>
      <w:r w:rsidR="002B1F65">
        <w:t xml:space="preserve"> of the Guidelines</w:t>
      </w:r>
      <w:r>
        <w:t>.</w:t>
      </w:r>
    </w:p>
    <w:p w:rsidR="00062864" w:rsidRDefault="00062864" w:rsidP="00062864">
      <w:pPr>
        <w:pStyle w:val="SubmissionNormal"/>
        <w:ind w:hanging="717"/>
        <w:jc w:val="both"/>
      </w:pPr>
      <w:r>
        <w:t xml:space="preserve">The Commission </w:t>
      </w:r>
      <w:r w:rsidR="00DD2AF0">
        <w:t xml:space="preserve">also </w:t>
      </w:r>
      <w:r>
        <w:t>considers that the federal government should take a strong leadership role in ensuring the processes and criteria throughout Australia are consistent, streamlined and fair for people who wish to change their legal sex</w:t>
      </w:r>
      <w:r w:rsidR="00B91789">
        <w:t xml:space="preserve"> or gender</w:t>
      </w:r>
      <w:r>
        <w:t>. The implementation of the Commonwealth’s approach in the Guidelines will assist in this process.</w:t>
      </w:r>
    </w:p>
    <w:p w:rsidR="005C3189" w:rsidRDefault="005C3189" w:rsidP="005C3189">
      <w:pPr>
        <w:pStyle w:val="SubmissionNormal"/>
        <w:ind w:hanging="717"/>
        <w:jc w:val="both"/>
      </w:pPr>
      <w:r>
        <w:t>The Commission strongly supports the Guidelines. In particular the Commission is encouraged to see that the Guidelines:</w:t>
      </w:r>
    </w:p>
    <w:p w:rsidR="005C3189" w:rsidRDefault="00507B85" w:rsidP="005C3189">
      <w:pPr>
        <w:pStyle w:val="SubmissionNormal"/>
        <w:numPr>
          <w:ilvl w:val="1"/>
          <w:numId w:val="15"/>
        </w:numPr>
        <w:jc w:val="both"/>
      </w:pPr>
      <w:r>
        <w:t>p</w:t>
      </w:r>
      <w:r w:rsidR="005C3189">
        <w:t xml:space="preserve">rovide for individuals to be recognised as </w:t>
      </w:r>
      <w:r w:rsidR="00B91789">
        <w:t>neither</w:t>
      </w:r>
      <w:r w:rsidR="005C3189">
        <w:t xml:space="preserve"> male </w:t>
      </w:r>
      <w:r w:rsidR="00B91789">
        <w:t>n</w:t>
      </w:r>
      <w:r w:rsidR="005C3189">
        <w:t>or female</w:t>
      </w:r>
    </w:p>
    <w:p w:rsidR="005C3189" w:rsidRDefault="00507B85" w:rsidP="005C3189">
      <w:pPr>
        <w:pStyle w:val="SubmissionNormal"/>
        <w:numPr>
          <w:ilvl w:val="1"/>
          <w:numId w:val="15"/>
        </w:numPr>
        <w:jc w:val="both"/>
      </w:pPr>
      <w:r>
        <w:t>d</w:t>
      </w:r>
      <w:r w:rsidR="005C3189">
        <w:t>o not require surgery as a criterion for being recognised as a particular gender</w:t>
      </w:r>
    </w:p>
    <w:p w:rsidR="005C3189" w:rsidRDefault="00507B85" w:rsidP="005C3189">
      <w:pPr>
        <w:pStyle w:val="SubmissionNormal"/>
        <w:numPr>
          <w:ilvl w:val="1"/>
          <w:numId w:val="15"/>
        </w:numPr>
        <w:jc w:val="both"/>
      </w:pPr>
      <w:r>
        <w:t>d</w:t>
      </w:r>
      <w:r w:rsidR="005C3189">
        <w:t>o not include marital status as a criterion for changing gender information on government records</w:t>
      </w:r>
    </w:p>
    <w:p w:rsidR="005C3189" w:rsidRDefault="00507B85" w:rsidP="005C3189">
      <w:pPr>
        <w:pStyle w:val="SubmissionNormal"/>
        <w:numPr>
          <w:ilvl w:val="1"/>
          <w:numId w:val="15"/>
        </w:numPr>
        <w:jc w:val="both"/>
      </w:pPr>
      <w:r>
        <w:t>p</w:t>
      </w:r>
      <w:r w:rsidR="005C3189">
        <w:t>rovide for consistency across the Australian Government.</w:t>
      </w:r>
    </w:p>
    <w:p w:rsidR="005C3189" w:rsidRDefault="00302094" w:rsidP="005C3189">
      <w:pPr>
        <w:pStyle w:val="SubmissionNormal"/>
        <w:ind w:hanging="717"/>
        <w:jc w:val="both"/>
      </w:pPr>
      <w:r>
        <w:lastRenderedPageBreak/>
        <w:t>T</w:t>
      </w:r>
      <w:r w:rsidR="005C3189">
        <w:t xml:space="preserve">he Commission encourages the Government to consider some further </w:t>
      </w:r>
      <w:r w:rsidR="00477A07">
        <w:t>options to</w:t>
      </w:r>
      <w:r w:rsidR="00362B69">
        <w:t xml:space="preserve"> strengthen </w:t>
      </w:r>
      <w:r w:rsidR="00477A07">
        <w:t>the effectiveness and accessibility of the Guidelines.</w:t>
      </w:r>
    </w:p>
    <w:p w:rsidR="00B956B9" w:rsidRDefault="00B956B9" w:rsidP="00286200">
      <w:pPr>
        <w:pStyle w:val="Heading1"/>
      </w:pPr>
      <w:bookmarkStart w:id="10" w:name="_Toc354406835"/>
      <w:r w:rsidRPr="005132AC">
        <w:t>Recommendations</w:t>
      </w:r>
      <w:bookmarkEnd w:id="10"/>
    </w:p>
    <w:p w:rsidR="00B956B9" w:rsidRPr="008A0DF3" w:rsidRDefault="00B956B9" w:rsidP="000801AA">
      <w:pPr>
        <w:pStyle w:val="SubmissionNormal"/>
        <w:ind w:left="1276" w:hanging="709"/>
        <w:jc w:val="both"/>
      </w:pPr>
      <w:r w:rsidRPr="008A0DF3">
        <w:t xml:space="preserve">The </w:t>
      </w:r>
      <w:r w:rsidR="00816151">
        <w:t>Australian Human Rights Commission recommends that:</w:t>
      </w:r>
    </w:p>
    <w:p w:rsidR="00C20C86" w:rsidRPr="00241CB0" w:rsidRDefault="00C20C86" w:rsidP="00C20C86">
      <w:pPr>
        <w:pStyle w:val="SubmissionNormal"/>
        <w:numPr>
          <w:ilvl w:val="0"/>
          <w:numId w:val="37"/>
        </w:numPr>
        <w:jc w:val="both"/>
        <w:rPr>
          <w:b/>
        </w:rPr>
      </w:pPr>
      <w:r>
        <w:t>T</w:t>
      </w:r>
      <w:r w:rsidRPr="00C20C86">
        <w:t xml:space="preserve">he Australian Government Guidelines </w:t>
      </w:r>
      <w:r w:rsidR="00477A07">
        <w:t>on the Recognition of Gender be</w:t>
      </w:r>
      <w:r w:rsidRPr="00C20C86">
        <w:t xml:space="preserve"> adopted and </w:t>
      </w:r>
      <w:r w:rsidR="00477A07">
        <w:t>enter</w:t>
      </w:r>
      <w:r w:rsidRPr="00C20C86">
        <w:t xml:space="preserve"> into force by 1 July 2013</w:t>
      </w:r>
      <w:r w:rsidRPr="00241CB0">
        <w:rPr>
          <w:b/>
        </w:rPr>
        <w:t xml:space="preserve"> [Recommendation 1].</w:t>
      </w:r>
    </w:p>
    <w:p w:rsidR="00C20C86" w:rsidRPr="008F781D" w:rsidRDefault="00C20C86" w:rsidP="00C20C86">
      <w:pPr>
        <w:pStyle w:val="SubmissionNormal"/>
        <w:numPr>
          <w:ilvl w:val="0"/>
          <w:numId w:val="37"/>
        </w:numPr>
        <w:jc w:val="both"/>
        <w:rPr>
          <w:b/>
        </w:rPr>
      </w:pPr>
      <w:r>
        <w:t>T</w:t>
      </w:r>
      <w:r w:rsidRPr="00C20C86">
        <w:t>he Government use the Guidelines as a platform for developing a nationally consistent approach to the legal recognition of sex and/or gender with state and territory governments</w:t>
      </w:r>
      <w:r>
        <w:rPr>
          <w:b/>
        </w:rPr>
        <w:t xml:space="preserve"> [Recommendation 2].</w:t>
      </w:r>
    </w:p>
    <w:p w:rsidR="00C20C86" w:rsidRPr="00E7639D" w:rsidRDefault="00C20C86" w:rsidP="00C20C86">
      <w:pPr>
        <w:pStyle w:val="SubmissionNormal"/>
        <w:numPr>
          <w:ilvl w:val="0"/>
          <w:numId w:val="37"/>
        </w:numPr>
        <w:jc w:val="both"/>
        <w:rPr>
          <w:b/>
        </w:rPr>
      </w:pPr>
      <w:r>
        <w:t>I</w:t>
      </w:r>
      <w:r w:rsidR="00EA57A2">
        <w:t>ndividuals not be required</w:t>
      </w:r>
      <w:r w:rsidRPr="00C20C86">
        <w:t xml:space="preserve"> to select a personal title which is inconsistent with their sex or gender</w:t>
      </w:r>
      <w:r w:rsidRPr="00E7639D">
        <w:rPr>
          <w:b/>
        </w:rPr>
        <w:t xml:space="preserve"> [Recommendation 3].</w:t>
      </w:r>
    </w:p>
    <w:p w:rsidR="00C20C86" w:rsidRPr="00E80CCE" w:rsidRDefault="00EA57A2" w:rsidP="00C20C86">
      <w:pPr>
        <w:pStyle w:val="SubmissionNormal"/>
        <w:numPr>
          <w:ilvl w:val="0"/>
          <w:numId w:val="37"/>
        </w:numPr>
        <w:jc w:val="both"/>
        <w:rPr>
          <w:b/>
        </w:rPr>
      </w:pPr>
      <w:r>
        <w:t xml:space="preserve">Evidence from </w:t>
      </w:r>
      <w:r w:rsidR="00C20C86" w:rsidRPr="00C20C86">
        <w:t>Registered Psychologists certifying an individual’s sex or gender</w:t>
      </w:r>
      <w:r>
        <w:t xml:space="preserve"> should satisfy the requirements of the Guidelines</w:t>
      </w:r>
      <w:r w:rsidR="00C20C86" w:rsidRPr="00E80CCE">
        <w:rPr>
          <w:b/>
        </w:rPr>
        <w:t xml:space="preserve"> [Recommendation 4].</w:t>
      </w:r>
    </w:p>
    <w:p w:rsidR="00C20C86" w:rsidRDefault="00C20C86" w:rsidP="00C20C86">
      <w:pPr>
        <w:pStyle w:val="SubmissionNormal"/>
        <w:numPr>
          <w:ilvl w:val="0"/>
          <w:numId w:val="37"/>
        </w:numPr>
        <w:jc w:val="both"/>
        <w:rPr>
          <w:b/>
        </w:rPr>
      </w:pPr>
      <w:r>
        <w:t>T</w:t>
      </w:r>
      <w:r w:rsidR="00B91789">
        <w:t>he Guidelines be</w:t>
      </w:r>
      <w:r w:rsidRPr="00C20C86">
        <w:t xml:space="preserve"> more explicit on the legitimate reasons why individuals may have conflicting records of gender</w:t>
      </w:r>
      <w:r w:rsidRPr="00E80CCE">
        <w:rPr>
          <w:b/>
        </w:rPr>
        <w:t xml:space="preserve"> [Recommendation 5].</w:t>
      </w:r>
    </w:p>
    <w:p w:rsidR="00B91789" w:rsidRPr="00C85451" w:rsidRDefault="00A77555" w:rsidP="00B91789">
      <w:pPr>
        <w:pStyle w:val="SubmissionNormal"/>
        <w:numPr>
          <w:ilvl w:val="0"/>
          <w:numId w:val="37"/>
        </w:numPr>
        <w:jc w:val="both"/>
        <w:rPr>
          <w:b/>
        </w:rPr>
      </w:pPr>
      <w:r>
        <w:t>T</w:t>
      </w:r>
      <w:r w:rsidR="00B91789" w:rsidRPr="00B91789">
        <w:t>he Guidelines refer to the collection of sex and gender-disaggregated data in paragraph 24 and clarify that this data should continue to be collected where it is ne</w:t>
      </w:r>
      <w:r w:rsidR="00870952">
        <w:t>cessary for the ongoing monitoring</w:t>
      </w:r>
      <w:r w:rsidR="00B91789" w:rsidRPr="00B91789">
        <w:t xml:space="preserve"> of equality between men and women</w:t>
      </w:r>
      <w:r w:rsidR="00B91789">
        <w:rPr>
          <w:b/>
        </w:rPr>
        <w:t xml:space="preserve"> [Recommendation 6</w:t>
      </w:r>
      <w:r w:rsidR="00B91789" w:rsidRPr="00C85451">
        <w:rPr>
          <w:b/>
        </w:rPr>
        <w:t>].</w:t>
      </w:r>
    </w:p>
    <w:p w:rsidR="00C20C86" w:rsidRDefault="00C20C86" w:rsidP="00C20C86">
      <w:pPr>
        <w:pStyle w:val="SubmissionNormal"/>
        <w:numPr>
          <w:ilvl w:val="0"/>
          <w:numId w:val="37"/>
        </w:numPr>
        <w:jc w:val="both"/>
      </w:pPr>
      <w:r>
        <w:t>T</w:t>
      </w:r>
      <w:r w:rsidRPr="00C20C86">
        <w:t>he Guidelines refer</w:t>
      </w:r>
      <w:r w:rsidR="003B3622">
        <w:t>ence</w:t>
      </w:r>
      <w:r w:rsidRPr="00C20C86">
        <w:t xml:space="preserve"> the Commission as a mechanism for enquiries and complaints about gender identity and intersex discrimination, subject to the passage of the SDA Bill</w:t>
      </w:r>
      <w:r w:rsidR="00B91789">
        <w:rPr>
          <w:b/>
        </w:rPr>
        <w:t xml:space="preserve"> [Recommendation 7</w:t>
      </w:r>
      <w:r>
        <w:rPr>
          <w:b/>
        </w:rPr>
        <w:t>].</w:t>
      </w:r>
    </w:p>
    <w:p w:rsidR="00C20C86" w:rsidRDefault="00C20C86" w:rsidP="00C20C86">
      <w:pPr>
        <w:pStyle w:val="SubmissionNormal"/>
        <w:numPr>
          <w:ilvl w:val="0"/>
          <w:numId w:val="37"/>
        </w:numPr>
        <w:jc w:val="both"/>
      </w:pPr>
      <w:r>
        <w:t>T</w:t>
      </w:r>
      <w:r w:rsidRPr="00C20C86">
        <w:t>he Guidelines include a requirement for departments and agencies to provide an implementation report after 18 months</w:t>
      </w:r>
      <w:r w:rsidR="00B91789">
        <w:rPr>
          <w:b/>
        </w:rPr>
        <w:t xml:space="preserve"> [Recommendation 8</w:t>
      </w:r>
      <w:r>
        <w:rPr>
          <w:b/>
        </w:rPr>
        <w:t>].</w:t>
      </w:r>
    </w:p>
    <w:p w:rsidR="00874594" w:rsidRDefault="00C20C86" w:rsidP="00C20C86">
      <w:pPr>
        <w:pStyle w:val="SubmissionNormal"/>
        <w:numPr>
          <w:ilvl w:val="0"/>
          <w:numId w:val="37"/>
        </w:numPr>
        <w:jc w:val="both"/>
      </w:pPr>
      <w:r>
        <w:t>T</w:t>
      </w:r>
      <w:r w:rsidRPr="00C20C86">
        <w:t xml:space="preserve">he Guidelines include a requirement that departments and agencies provide clear and accessible information on their website about how sex and/or gender can be amended in government records and documents </w:t>
      </w:r>
      <w:r>
        <w:rPr>
          <w:b/>
        </w:rPr>
        <w:t>[R</w:t>
      </w:r>
      <w:r w:rsidR="00B91789">
        <w:rPr>
          <w:b/>
        </w:rPr>
        <w:t>ecommendation 9</w:t>
      </w:r>
      <w:r>
        <w:rPr>
          <w:b/>
        </w:rPr>
        <w:t>].</w:t>
      </w:r>
    </w:p>
    <w:p w:rsidR="00BF6F96" w:rsidRDefault="00BF6F96" w:rsidP="00BF6F96">
      <w:pPr>
        <w:pStyle w:val="Heading1"/>
      </w:pPr>
      <w:bookmarkStart w:id="11" w:name="_Toc354406836"/>
      <w:r>
        <w:t>The Sex Files Report</w:t>
      </w:r>
      <w:bookmarkEnd w:id="11"/>
    </w:p>
    <w:p w:rsidR="00BF6F96" w:rsidRDefault="000D0A9B" w:rsidP="00BF6F96">
      <w:pPr>
        <w:pStyle w:val="SubmissionNormal"/>
        <w:ind w:hanging="717"/>
        <w:jc w:val="both"/>
      </w:pPr>
      <w:r>
        <w:t>In 2009 the Commission consulted on the legal recognition of sex</w:t>
      </w:r>
      <w:r w:rsidR="00241CB0">
        <w:t xml:space="preserve"> and gender</w:t>
      </w:r>
      <w:r>
        <w:t xml:space="preserve"> in </w:t>
      </w:r>
      <w:r w:rsidR="00C572DA">
        <w:t xml:space="preserve">official </w:t>
      </w:r>
      <w:r>
        <w:t xml:space="preserve">documents and government records. The consultation </w:t>
      </w:r>
      <w:r>
        <w:lastRenderedPageBreak/>
        <w:t xml:space="preserve">revealed that there are significant limitations in the way that official documents and government records record sex and gender. The result of the consultation was the </w:t>
      </w:r>
      <w:r>
        <w:rPr>
          <w:i/>
        </w:rPr>
        <w:t xml:space="preserve">Sex Files </w:t>
      </w:r>
      <w:r>
        <w:t>concluding paper which included 15 recommendations.</w:t>
      </w:r>
    </w:p>
    <w:p w:rsidR="00134E13" w:rsidRDefault="000D0A9B" w:rsidP="00BF6F96">
      <w:pPr>
        <w:pStyle w:val="SubmissionNormal"/>
        <w:ind w:hanging="717"/>
        <w:jc w:val="both"/>
      </w:pPr>
      <w:r>
        <w:t>These recommendations included that the ‘federal government should consider the development of national guidelines concerning the collection of sex and gender information from individuals’.</w:t>
      </w:r>
      <w:bookmarkEnd w:id="4"/>
      <w:bookmarkEnd w:id="5"/>
      <w:bookmarkEnd w:id="6"/>
      <w:r w:rsidR="00134E13">
        <w:rPr>
          <w:rStyle w:val="EndnoteReference"/>
        </w:rPr>
        <w:endnoteReference w:id="2"/>
      </w:r>
      <w:r w:rsidR="00134E13">
        <w:t xml:space="preserve"> The Commission is encouraged to see the</w:t>
      </w:r>
      <w:r w:rsidR="00241CB0">
        <w:t xml:space="preserve"> </w:t>
      </w:r>
      <w:r w:rsidR="00134E13">
        <w:t>Government</w:t>
      </w:r>
      <w:r w:rsidR="00241CB0">
        <w:t xml:space="preserve"> develop the Guidelines in</w:t>
      </w:r>
      <w:r w:rsidR="00134E13">
        <w:t xml:space="preserve"> response to this recommendat</w:t>
      </w:r>
      <w:r w:rsidR="00241CB0">
        <w:t>ion. The Commission supports their adoption.</w:t>
      </w:r>
    </w:p>
    <w:p w:rsidR="00241CB0" w:rsidRPr="00241CB0" w:rsidRDefault="00241CB0" w:rsidP="00BF6F96">
      <w:pPr>
        <w:pStyle w:val="SubmissionNormal"/>
        <w:ind w:hanging="717"/>
        <w:jc w:val="both"/>
        <w:rPr>
          <w:b/>
        </w:rPr>
      </w:pPr>
      <w:r w:rsidRPr="00241CB0">
        <w:rPr>
          <w:b/>
        </w:rPr>
        <w:t xml:space="preserve">The Commission recommends that the </w:t>
      </w:r>
      <w:r w:rsidRPr="007A1E3A">
        <w:rPr>
          <w:b/>
        </w:rPr>
        <w:t xml:space="preserve">Australian Government Guidelines </w:t>
      </w:r>
      <w:r w:rsidR="00477A07" w:rsidRPr="00972CA8">
        <w:rPr>
          <w:b/>
        </w:rPr>
        <w:t>on the Recognition of Gender</w:t>
      </w:r>
      <w:r w:rsidR="00477A07">
        <w:rPr>
          <w:b/>
        </w:rPr>
        <w:t xml:space="preserve"> be</w:t>
      </w:r>
      <w:r w:rsidRPr="00241CB0">
        <w:rPr>
          <w:b/>
        </w:rPr>
        <w:t xml:space="preserve"> adopted and </w:t>
      </w:r>
      <w:r w:rsidR="00477A07">
        <w:rPr>
          <w:b/>
        </w:rPr>
        <w:t>enter</w:t>
      </w:r>
      <w:r w:rsidRPr="00241CB0">
        <w:rPr>
          <w:b/>
        </w:rPr>
        <w:t xml:space="preserve"> into force by 1 July 2013 [Recommendation 1].</w:t>
      </w:r>
    </w:p>
    <w:p w:rsidR="00134E13" w:rsidRDefault="000F4121" w:rsidP="00C572DA">
      <w:pPr>
        <w:pStyle w:val="SubmissionNormal"/>
        <w:ind w:hanging="717"/>
        <w:jc w:val="both"/>
      </w:pPr>
      <w:r>
        <w:t xml:space="preserve">The Guidelines are </w:t>
      </w:r>
      <w:r w:rsidR="00134E13">
        <w:t xml:space="preserve">consistent with the Government’s commitment in the </w:t>
      </w:r>
      <w:r w:rsidR="00134E13" w:rsidRPr="00C572DA">
        <w:rPr>
          <w:i/>
        </w:rPr>
        <w:t xml:space="preserve">National Human Rights Action Plan 2012 </w:t>
      </w:r>
      <w:r w:rsidR="00134E13">
        <w:t>(Action Plan)</w:t>
      </w:r>
      <w:r w:rsidR="00134E13" w:rsidRPr="00C572DA">
        <w:rPr>
          <w:i/>
        </w:rPr>
        <w:t>.</w:t>
      </w:r>
      <w:r w:rsidR="00134E13">
        <w:rPr>
          <w:rStyle w:val="EndnoteReference"/>
        </w:rPr>
        <w:endnoteReference w:id="3"/>
      </w:r>
      <w:r w:rsidR="00134E13">
        <w:t xml:space="preserve"> </w:t>
      </w:r>
      <w:r w:rsidR="003147A0">
        <w:t>I</w:t>
      </w:r>
      <w:r w:rsidR="00134E13">
        <w:t xml:space="preserve">n the </w:t>
      </w:r>
      <w:r w:rsidR="00EA57A2">
        <w:t xml:space="preserve">Action Plan the Government </w:t>
      </w:r>
      <w:r w:rsidR="003147A0">
        <w:t xml:space="preserve">also </w:t>
      </w:r>
      <w:r w:rsidR="00134E13">
        <w:t>committed to ‘work with the states and territories to develop a nationally consistent approach to legally changing sex’.</w:t>
      </w:r>
      <w:r w:rsidR="00134E13">
        <w:rPr>
          <w:rStyle w:val="EndnoteReference"/>
        </w:rPr>
        <w:endnoteReference w:id="4"/>
      </w:r>
      <w:r w:rsidR="003E421B">
        <w:t xml:space="preserve"> This is </w:t>
      </w:r>
      <w:r w:rsidR="00EA57A2">
        <w:t xml:space="preserve">also </w:t>
      </w:r>
      <w:r w:rsidR="003E421B">
        <w:t xml:space="preserve">in response to the </w:t>
      </w:r>
      <w:r w:rsidR="003E421B">
        <w:rPr>
          <w:i/>
        </w:rPr>
        <w:t xml:space="preserve">Sex Files </w:t>
      </w:r>
      <w:r w:rsidR="003E421B">
        <w:t>recommendations.</w:t>
      </w:r>
      <w:r w:rsidR="00134E13">
        <w:rPr>
          <w:rStyle w:val="EndnoteReference"/>
        </w:rPr>
        <w:endnoteReference w:id="5"/>
      </w:r>
      <w:r w:rsidR="003E421B">
        <w:t xml:space="preserve"> The Commission considers that the federal government should take a strong leadership role in ensuring the processes and criteria throughout Australia are consistent, streamlined and fair for people who </w:t>
      </w:r>
      <w:r w:rsidR="0098707B">
        <w:t>wis</w:t>
      </w:r>
      <w:r w:rsidR="00526213">
        <w:t xml:space="preserve">h to change their legal sex. </w:t>
      </w:r>
      <w:r w:rsidR="003147A0">
        <w:t xml:space="preserve">A national approach is necessary </w:t>
      </w:r>
      <w:r w:rsidR="00DE621E">
        <w:t xml:space="preserve">given the complexities and inconsistencies across, and between, federal and state and territory governments. </w:t>
      </w:r>
      <w:r w:rsidR="00526213">
        <w:t>The implementation of the</w:t>
      </w:r>
      <w:r w:rsidR="00EA57A2">
        <w:t xml:space="preserve"> </w:t>
      </w:r>
      <w:r w:rsidR="00526213">
        <w:t>Guidelines will assist in this process.</w:t>
      </w:r>
    </w:p>
    <w:p w:rsidR="00134E13" w:rsidRPr="008F781D" w:rsidRDefault="00573366" w:rsidP="00BF6F96">
      <w:pPr>
        <w:pStyle w:val="SubmissionNormal"/>
        <w:ind w:hanging="717"/>
        <w:jc w:val="both"/>
        <w:rPr>
          <w:b/>
        </w:rPr>
      </w:pPr>
      <w:r>
        <w:rPr>
          <w:b/>
        </w:rPr>
        <w:t>The Commission recommends that the Government</w:t>
      </w:r>
      <w:r w:rsidR="00134E13" w:rsidRPr="008F781D">
        <w:rPr>
          <w:b/>
        </w:rPr>
        <w:t xml:space="preserve"> use the Guidelines</w:t>
      </w:r>
      <w:r w:rsidR="008F781D">
        <w:rPr>
          <w:b/>
        </w:rPr>
        <w:t xml:space="preserve"> as a platform for </w:t>
      </w:r>
      <w:r>
        <w:rPr>
          <w:b/>
        </w:rPr>
        <w:t xml:space="preserve">developing </w:t>
      </w:r>
      <w:r w:rsidR="008F781D">
        <w:rPr>
          <w:b/>
        </w:rPr>
        <w:t>a</w:t>
      </w:r>
      <w:r w:rsidR="00134E13" w:rsidRPr="008F781D">
        <w:rPr>
          <w:b/>
        </w:rPr>
        <w:t xml:space="preserve"> nationally consistent approach</w:t>
      </w:r>
      <w:r>
        <w:rPr>
          <w:b/>
        </w:rPr>
        <w:t xml:space="preserve"> </w:t>
      </w:r>
      <w:r w:rsidR="00134E13" w:rsidRPr="008F781D">
        <w:rPr>
          <w:b/>
        </w:rPr>
        <w:t>to the legal re</w:t>
      </w:r>
      <w:r>
        <w:rPr>
          <w:b/>
        </w:rPr>
        <w:t xml:space="preserve">cognition of sex and/or gender with state and territory governments </w:t>
      </w:r>
      <w:r w:rsidR="008F781D">
        <w:rPr>
          <w:b/>
        </w:rPr>
        <w:t>[Recommendation 2].</w:t>
      </w:r>
    </w:p>
    <w:p w:rsidR="00134E13" w:rsidRPr="001B14FF" w:rsidRDefault="00134E13" w:rsidP="002C51ED">
      <w:pPr>
        <w:pStyle w:val="Heading1"/>
      </w:pPr>
      <w:bookmarkStart w:id="12" w:name="_Toc354406837"/>
      <w:r>
        <w:t>Human rights and the recognition of intersex and gender identity</w:t>
      </w:r>
      <w:bookmarkEnd w:id="12"/>
    </w:p>
    <w:p w:rsidR="00134E13" w:rsidRPr="0013252A" w:rsidRDefault="00134E13" w:rsidP="0013252A">
      <w:pPr>
        <w:pStyle w:val="SubmissionNormal"/>
        <w:ind w:hanging="717"/>
        <w:jc w:val="both"/>
        <w:rPr>
          <w:sz w:val="20"/>
          <w:szCs w:val="20"/>
        </w:rPr>
      </w:pPr>
      <w:r>
        <w:t>There is no separate international human rights agreement that deals specifically with gender identity and intersex, however all people have the same human rights regardless of their gender identity or because they are inters</w:t>
      </w:r>
      <w:r w:rsidR="00A72F3A">
        <w:t xml:space="preserve">ex. The Commission outlines </w:t>
      </w:r>
      <w:r>
        <w:t>relevant human rights</w:t>
      </w:r>
      <w:r w:rsidR="00A72F3A">
        <w:t xml:space="preserve"> standards</w:t>
      </w:r>
      <w:r>
        <w:t xml:space="preserve"> in the </w:t>
      </w:r>
      <w:r>
        <w:rPr>
          <w:i/>
        </w:rPr>
        <w:t>Sex File</w:t>
      </w:r>
      <w:r w:rsidR="00EA57A2">
        <w:rPr>
          <w:i/>
        </w:rPr>
        <w:t>s</w:t>
      </w:r>
      <w:r>
        <w:rPr>
          <w:i/>
        </w:rPr>
        <w:t xml:space="preserve"> </w:t>
      </w:r>
      <w:r>
        <w:t>concluding paper</w:t>
      </w:r>
      <w:r>
        <w:rPr>
          <w:i/>
        </w:rPr>
        <w:t>.</w:t>
      </w:r>
      <w:r w:rsidRPr="003279DE">
        <w:rPr>
          <w:rStyle w:val="EndnoteReference"/>
        </w:rPr>
        <w:endnoteReference w:id="6"/>
      </w:r>
    </w:p>
    <w:p w:rsidR="0033776C" w:rsidRDefault="0033776C" w:rsidP="0033776C">
      <w:pPr>
        <w:pStyle w:val="SubmissionNormal"/>
        <w:ind w:hanging="717"/>
        <w:jc w:val="both"/>
      </w:pPr>
      <w:r>
        <w:t xml:space="preserve">The Yogyakarta Principles provide </w:t>
      </w:r>
      <w:r w:rsidR="00A922EA">
        <w:t xml:space="preserve">specific </w:t>
      </w:r>
      <w:r>
        <w:t>guidance on how</w:t>
      </w:r>
      <w:r w:rsidR="00A72F3A">
        <w:t xml:space="preserve"> these standards should be </w:t>
      </w:r>
      <w:r>
        <w:t xml:space="preserve">interpreted in relation to the protection of </w:t>
      </w:r>
      <w:r w:rsidR="00F051A5">
        <w:t>gender identity</w:t>
      </w:r>
      <w:r>
        <w:t>.</w:t>
      </w:r>
      <w:r w:rsidR="00972CA8">
        <w:rPr>
          <w:rStyle w:val="EndnoteReference"/>
        </w:rPr>
        <w:endnoteReference w:id="7"/>
      </w:r>
      <w:r>
        <w:t xml:space="preserve"> </w:t>
      </w:r>
      <w:r w:rsidR="00696C90">
        <w:t xml:space="preserve">While not legally binding they are </w:t>
      </w:r>
      <w:r>
        <w:t xml:space="preserve">persuasive in shaping our understanding of how existing binding human rights obligations apply and relate to people who are sex and gender diverse. </w:t>
      </w:r>
    </w:p>
    <w:p w:rsidR="0033776C" w:rsidRDefault="0033776C" w:rsidP="0033776C">
      <w:pPr>
        <w:pStyle w:val="SubmissionNormal"/>
        <w:ind w:hanging="717"/>
        <w:jc w:val="both"/>
      </w:pPr>
      <w:r>
        <w:t>In particular, Yogyakarta Principle 3 outlines the right to recognition before the law for all people regardless of gender identity:</w:t>
      </w:r>
      <w:r w:rsidRPr="0033776C">
        <w:rPr>
          <w:rFonts w:ascii="Century Gothic" w:hAnsi="Century Gothic"/>
          <w:color w:val="000000"/>
        </w:rPr>
        <w:t> </w:t>
      </w:r>
    </w:p>
    <w:p w:rsidR="0033776C" w:rsidRDefault="0033776C" w:rsidP="0033776C">
      <w:pPr>
        <w:ind w:left="2004"/>
        <w:rPr>
          <w:b/>
          <w:sz w:val="20"/>
          <w:szCs w:val="20"/>
        </w:rPr>
      </w:pPr>
      <w:r>
        <w:rPr>
          <w:rStyle w:val="Strong"/>
          <w:rFonts w:cs="Arial"/>
          <w:b w:val="0"/>
          <w:color w:val="000000"/>
          <w:sz w:val="20"/>
          <w:szCs w:val="20"/>
        </w:rPr>
        <w:lastRenderedPageBreak/>
        <w:t>Everyone has the right to recognition everywhere as a person before the law. Persons of diverse sexual orientations and gender identities shall enjoy legal capacity in all aspects of life. Each person’s self-defined sexual orientation and gender identity is integral to their personality and is one of the most basic aspects of self-determination, dignity and freedom. No one shall be forced to undergo medical procedures, including sex reassignment surgery, sterilisation or hormonal therapy, as a requirement for legal recognition of their gender identity. No status, such as marriage or parenthood, may be invoked as such to prevent the legal recognition of a person’s gender identity. No one shall be subjected to pressure to conceal, suppress or deny their sexual orientation or gender identity</w:t>
      </w:r>
      <w:r>
        <w:rPr>
          <w:rStyle w:val="Strong"/>
          <w:rFonts w:cs="Arial"/>
          <w:b w:val="0"/>
          <w:i/>
          <w:color w:val="000000"/>
          <w:sz w:val="20"/>
          <w:szCs w:val="20"/>
        </w:rPr>
        <w:t>. </w:t>
      </w:r>
    </w:p>
    <w:p w:rsidR="009701FB" w:rsidRDefault="0033776C" w:rsidP="00134E13">
      <w:pPr>
        <w:pStyle w:val="SubmissionNormal"/>
        <w:ind w:hanging="717"/>
        <w:jc w:val="both"/>
      </w:pPr>
      <w:r>
        <w:t xml:space="preserve">In addition, Yogyakarta Principle 3 details actions that countries such as Australia should undertake to ensure they are not in breach of their human rights obligations. </w:t>
      </w:r>
      <w:r w:rsidR="00134E13">
        <w:t>These include</w:t>
      </w:r>
      <w:bookmarkStart w:id="13" w:name="OLE_LINK5"/>
      <w:r w:rsidR="00134E13">
        <w:t xml:space="preserve"> taking all necessary legislative, administrative and other measures to ensure that procedures exist whereby all government-issued identity papers which indicate a person’s gender/sex – including birth certificates, passports, electoral records and other documents – reflect the person’s profound self-defined gender identity. The Commission is encouraged to see the Government’s steps in this regard.</w:t>
      </w:r>
      <w:bookmarkEnd w:id="13"/>
    </w:p>
    <w:p w:rsidR="00F8520F" w:rsidRDefault="00F8520F" w:rsidP="002C51ED">
      <w:pPr>
        <w:pStyle w:val="Heading1"/>
      </w:pPr>
      <w:bookmarkStart w:id="14" w:name="_Toc354406838"/>
      <w:r>
        <w:t>The Guidelines</w:t>
      </w:r>
      <w:bookmarkEnd w:id="14"/>
    </w:p>
    <w:p w:rsidR="00F8520F" w:rsidRDefault="005C5993" w:rsidP="00F8520F">
      <w:pPr>
        <w:pStyle w:val="SubmissionNormal"/>
        <w:ind w:hanging="717"/>
        <w:jc w:val="both"/>
      </w:pPr>
      <w:r>
        <w:t>The Commission strongly supports the de</w:t>
      </w:r>
      <w:r w:rsidR="00B05976">
        <w:t xml:space="preserve">velopment of the Guidelines. The Commission is particularly encouraged to see </w:t>
      </w:r>
      <w:r w:rsidR="00580108">
        <w:t>that the Guidelines:</w:t>
      </w:r>
    </w:p>
    <w:p w:rsidR="00580108" w:rsidRDefault="00C278BF" w:rsidP="00580108">
      <w:pPr>
        <w:pStyle w:val="SubmissionNormal"/>
        <w:numPr>
          <w:ilvl w:val="1"/>
          <w:numId w:val="15"/>
        </w:numPr>
        <w:jc w:val="both"/>
      </w:pPr>
      <w:r>
        <w:t>p</w:t>
      </w:r>
      <w:r w:rsidR="00580108">
        <w:t xml:space="preserve">rovide for individuals to be recognised as </w:t>
      </w:r>
      <w:r w:rsidR="00B91789">
        <w:t xml:space="preserve">neither </w:t>
      </w:r>
      <w:r w:rsidR="00580108">
        <w:t xml:space="preserve">male </w:t>
      </w:r>
      <w:r w:rsidR="00B91789">
        <w:t>n</w:t>
      </w:r>
      <w:r w:rsidR="00580108">
        <w:t>or female</w:t>
      </w:r>
    </w:p>
    <w:p w:rsidR="00580108" w:rsidRDefault="00C278BF" w:rsidP="00580108">
      <w:pPr>
        <w:pStyle w:val="SubmissionNormal"/>
        <w:numPr>
          <w:ilvl w:val="1"/>
          <w:numId w:val="15"/>
        </w:numPr>
        <w:jc w:val="both"/>
      </w:pPr>
      <w:r>
        <w:t>d</w:t>
      </w:r>
      <w:r w:rsidR="00F61CBF">
        <w:t>o not require surgery as a criterion for</w:t>
      </w:r>
      <w:r w:rsidR="00580108">
        <w:t xml:space="preserve"> </w:t>
      </w:r>
      <w:r w:rsidR="00F61CBF">
        <w:t>being recognised as a particular gender</w:t>
      </w:r>
    </w:p>
    <w:p w:rsidR="00F61CBF" w:rsidRDefault="00C278BF" w:rsidP="00580108">
      <w:pPr>
        <w:pStyle w:val="SubmissionNormal"/>
        <w:numPr>
          <w:ilvl w:val="1"/>
          <w:numId w:val="15"/>
        </w:numPr>
        <w:jc w:val="both"/>
      </w:pPr>
      <w:r>
        <w:t>d</w:t>
      </w:r>
      <w:r w:rsidR="00696C90">
        <w:t xml:space="preserve">o not include </w:t>
      </w:r>
      <w:r w:rsidR="00F61CBF">
        <w:t>marital status as a criterion for changing gender information on government records</w:t>
      </w:r>
    </w:p>
    <w:p w:rsidR="001C0397" w:rsidRDefault="00C278BF" w:rsidP="00580108">
      <w:pPr>
        <w:pStyle w:val="SubmissionNormal"/>
        <w:numPr>
          <w:ilvl w:val="1"/>
          <w:numId w:val="15"/>
        </w:numPr>
        <w:jc w:val="both"/>
      </w:pPr>
      <w:r>
        <w:t>p</w:t>
      </w:r>
      <w:r w:rsidR="001C0397">
        <w:t>rovide for consistency across the Australian Government.</w:t>
      </w:r>
    </w:p>
    <w:p w:rsidR="00F051A5" w:rsidRDefault="00302094" w:rsidP="00F051A5">
      <w:pPr>
        <w:pStyle w:val="SubmissionNormal"/>
        <w:ind w:hanging="717"/>
        <w:jc w:val="both"/>
      </w:pPr>
      <w:r>
        <w:t>T</w:t>
      </w:r>
      <w:r w:rsidR="00F051A5">
        <w:t xml:space="preserve">he Commission encourages the Government to consider some further options to </w:t>
      </w:r>
      <w:r w:rsidR="00362B69">
        <w:t xml:space="preserve">strengthen </w:t>
      </w:r>
      <w:r w:rsidR="00F051A5">
        <w:t>the effectiveness and accessibility of the Guidelines.</w:t>
      </w:r>
    </w:p>
    <w:p w:rsidR="00F45C98" w:rsidRDefault="00225BE8" w:rsidP="00F45C98">
      <w:pPr>
        <w:pStyle w:val="Heading2"/>
      </w:pPr>
      <w:bookmarkStart w:id="15" w:name="_Toc354406839"/>
      <w:r>
        <w:t>Sex and Gender Classification</w:t>
      </w:r>
      <w:bookmarkEnd w:id="15"/>
    </w:p>
    <w:p w:rsidR="00F8520F" w:rsidRDefault="00B50145" w:rsidP="00F8520F">
      <w:pPr>
        <w:pStyle w:val="SubmissionNormal"/>
        <w:ind w:hanging="717"/>
        <w:jc w:val="both"/>
      </w:pPr>
      <w:r>
        <w:t>Most personal titles, such as Mr and Mrs, are gendered to correspond with either ‘male’ or ‘female’. Given the option within the Guidelines to be recognised as X (Intersex/Indeterminate/Unspecified)</w:t>
      </w:r>
      <w:r w:rsidR="00FD50C0">
        <w:t>, and that the collection of sex/gender data is not always required,</w:t>
      </w:r>
      <w:r w:rsidR="006B6C5B">
        <w:t xml:space="preserve"> the Guidelines could be amended to include guidance </w:t>
      </w:r>
      <w:r w:rsidR="00E7639D">
        <w:t xml:space="preserve">for departments and agencies </w:t>
      </w:r>
      <w:r w:rsidR="006B6C5B">
        <w:t>that it may not be appropriate to require individuals to select from a</w:t>
      </w:r>
      <w:r w:rsidR="00B91789">
        <w:t xml:space="preserve"> list</w:t>
      </w:r>
      <w:r w:rsidR="006B6C5B">
        <w:t xml:space="preserve"> of possible titles</w:t>
      </w:r>
      <w:r w:rsidR="00F051A5">
        <w:t xml:space="preserve"> which may be inconsistent with their sex or gender</w:t>
      </w:r>
      <w:r w:rsidR="006B6C5B">
        <w:t>.</w:t>
      </w:r>
      <w:r>
        <w:t xml:space="preserve"> </w:t>
      </w:r>
      <w:r w:rsidR="00FD50C0">
        <w:t>Instead</w:t>
      </w:r>
      <w:r w:rsidR="00870952">
        <w:t>,</w:t>
      </w:r>
      <w:r w:rsidR="00FD50C0">
        <w:t xml:space="preserve"> individuals could </w:t>
      </w:r>
      <w:r w:rsidR="00F051A5">
        <w:t>self-nominate</w:t>
      </w:r>
      <w:r w:rsidR="00E7639D">
        <w:t xml:space="preserve"> a title or remain silent. This is </w:t>
      </w:r>
      <w:r w:rsidR="00E7639D">
        <w:lastRenderedPageBreak/>
        <w:t>particularl</w:t>
      </w:r>
      <w:r w:rsidR="00B91789">
        <w:t>y important in electronic forms which often includes ‘title’ as a mandatory field.</w:t>
      </w:r>
    </w:p>
    <w:p w:rsidR="00E7639D" w:rsidRPr="00E7639D" w:rsidRDefault="00E7639D" w:rsidP="00F8520F">
      <w:pPr>
        <w:pStyle w:val="SubmissionNormal"/>
        <w:ind w:hanging="717"/>
        <w:jc w:val="both"/>
        <w:rPr>
          <w:b/>
        </w:rPr>
      </w:pPr>
      <w:r w:rsidRPr="00E7639D">
        <w:rPr>
          <w:b/>
        </w:rPr>
        <w:t xml:space="preserve">The Commission recommends that individuals not be </w:t>
      </w:r>
      <w:r w:rsidR="00F051A5">
        <w:rPr>
          <w:b/>
        </w:rPr>
        <w:t>required</w:t>
      </w:r>
      <w:r w:rsidRPr="00E7639D">
        <w:rPr>
          <w:b/>
        </w:rPr>
        <w:t xml:space="preserve"> to select a personal title which is inconsistent with their sex or gender [Recommendation 3].</w:t>
      </w:r>
    </w:p>
    <w:p w:rsidR="00225BE8" w:rsidRDefault="00225BE8" w:rsidP="00BB1F19">
      <w:pPr>
        <w:pStyle w:val="Heading2"/>
      </w:pPr>
      <w:bookmarkStart w:id="16" w:name="_Toc354406840"/>
      <w:r>
        <w:t>Proof of Sex and Gender</w:t>
      </w:r>
      <w:bookmarkEnd w:id="16"/>
    </w:p>
    <w:p w:rsidR="00407168" w:rsidRDefault="009A24AA" w:rsidP="00225BE8">
      <w:pPr>
        <w:pStyle w:val="SubmissionNormal"/>
        <w:ind w:hanging="717"/>
        <w:jc w:val="both"/>
      </w:pPr>
      <w:r>
        <w:t xml:space="preserve">In addition to registered medical practitioners, the Government should give consideration to </w:t>
      </w:r>
      <w:r w:rsidR="003048C0">
        <w:t xml:space="preserve">broadening </w:t>
      </w:r>
      <w:r>
        <w:t>the category of medical professionals who are able to provide evidence certifying the sex and/or gender of a</w:t>
      </w:r>
      <w:r w:rsidR="00F74AE3">
        <w:t>n</w:t>
      </w:r>
      <w:r>
        <w:t xml:space="preserve"> applicant</w:t>
      </w:r>
      <w:r w:rsidR="003048C0">
        <w:t xml:space="preserve"> to include Registered Psychologists</w:t>
      </w:r>
      <w:r>
        <w:t>. This is because psychological counselling concerning sex or gender identity should satisfy the criteria for sex affirmation.</w:t>
      </w:r>
      <w:r>
        <w:rPr>
          <w:rStyle w:val="EndnoteReference"/>
        </w:rPr>
        <w:endnoteReference w:id="8"/>
      </w:r>
    </w:p>
    <w:p w:rsidR="00E7639D" w:rsidRPr="00E80CCE" w:rsidRDefault="00EA57A2" w:rsidP="00225BE8">
      <w:pPr>
        <w:pStyle w:val="SubmissionNormal"/>
        <w:ind w:hanging="717"/>
        <w:jc w:val="both"/>
        <w:rPr>
          <w:b/>
        </w:rPr>
      </w:pPr>
      <w:r w:rsidRPr="00EA57A2">
        <w:rPr>
          <w:b/>
        </w:rPr>
        <w:t xml:space="preserve">Evidence from Registered Psychologists certifying an individual’s sex or gender should satisfy the requirements of the Guidelines </w:t>
      </w:r>
      <w:r w:rsidR="00E80CCE" w:rsidRPr="00E80CCE">
        <w:rPr>
          <w:b/>
        </w:rPr>
        <w:t>[Recommendation 4].</w:t>
      </w:r>
    </w:p>
    <w:p w:rsidR="00225BE8" w:rsidRDefault="00F74AE3" w:rsidP="00804BEA">
      <w:pPr>
        <w:pStyle w:val="SubmissionNormal"/>
        <w:ind w:hanging="717"/>
        <w:jc w:val="both"/>
      </w:pPr>
      <w:r>
        <w:t>As identified in the footnote to paragraph 21</w:t>
      </w:r>
      <w:r w:rsidR="00EA393D">
        <w:t xml:space="preserve"> of the Guidelines</w:t>
      </w:r>
      <w:r>
        <w:t xml:space="preserve">, </w:t>
      </w:r>
      <w:r w:rsidR="00B73AAD">
        <w:t xml:space="preserve">there may be legitimate reasons why people may hold a passport in a gender which is different to that on other government records. This may </w:t>
      </w:r>
      <w:r w:rsidR="00F051A5">
        <w:t xml:space="preserve">be </w:t>
      </w:r>
      <w:r w:rsidR="00B73AAD">
        <w:t xml:space="preserve">because of safety </w:t>
      </w:r>
      <w:r w:rsidR="00F051A5">
        <w:t xml:space="preserve">reasons </w:t>
      </w:r>
      <w:r w:rsidR="00B73AAD">
        <w:t xml:space="preserve">or </w:t>
      </w:r>
      <w:r w:rsidR="00804BEA">
        <w:t>because of difficulties posed with travelling across borders.</w:t>
      </w:r>
      <w:r w:rsidR="00804BEA">
        <w:rPr>
          <w:rStyle w:val="EndnoteReference"/>
        </w:rPr>
        <w:endnoteReference w:id="9"/>
      </w:r>
      <w:r w:rsidR="00804BEA">
        <w:t xml:space="preserve"> Particularly during the implementation phase of the Guideline</w:t>
      </w:r>
      <w:r w:rsidR="00870952">
        <w:t>s it may be helpful to also include</w:t>
      </w:r>
      <w:r w:rsidR="00804BEA">
        <w:t xml:space="preserve"> this point in the body of the Guidelines as an education tool for public servants.</w:t>
      </w:r>
      <w:r w:rsidR="00804BEA" w:rsidRPr="00225BE8">
        <w:t xml:space="preserve"> </w:t>
      </w:r>
    </w:p>
    <w:p w:rsidR="00E80CCE" w:rsidRDefault="00E80CCE" w:rsidP="00804BEA">
      <w:pPr>
        <w:pStyle w:val="SubmissionNormal"/>
        <w:ind w:hanging="717"/>
        <w:jc w:val="both"/>
        <w:rPr>
          <w:b/>
        </w:rPr>
      </w:pPr>
      <w:r w:rsidRPr="00E80CCE">
        <w:rPr>
          <w:b/>
        </w:rPr>
        <w:t>The Commission re</w:t>
      </w:r>
      <w:r w:rsidR="00F74AE3">
        <w:rPr>
          <w:b/>
        </w:rPr>
        <w:t>commends that the Guidelines be</w:t>
      </w:r>
      <w:r w:rsidRPr="00E80CCE">
        <w:rPr>
          <w:b/>
        </w:rPr>
        <w:t xml:space="preserve"> more explicit on the legitimate reasons why individuals may have conflicting records of gender [Recommendation 5].</w:t>
      </w:r>
    </w:p>
    <w:p w:rsidR="00D96071" w:rsidRDefault="00D96071" w:rsidP="008116FF">
      <w:pPr>
        <w:pStyle w:val="Heading2"/>
      </w:pPr>
      <w:bookmarkStart w:id="17" w:name="_Toc354406841"/>
      <w:r>
        <w:t>Collecting Sex and Gender Information</w:t>
      </w:r>
      <w:bookmarkEnd w:id="17"/>
    </w:p>
    <w:p w:rsidR="00405C38" w:rsidRDefault="00D96071" w:rsidP="00D96071">
      <w:pPr>
        <w:pStyle w:val="SubmissionNormal"/>
        <w:ind w:hanging="717"/>
        <w:jc w:val="both"/>
      </w:pPr>
      <w:r>
        <w:t xml:space="preserve">The Commission welcomes the specific recognition in the Guidelines </w:t>
      </w:r>
      <w:r w:rsidR="005C0C59">
        <w:t xml:space="preserve">that collecting and maintaining gender-disaggregated data is crucial to the ongoing monitoring of equality between men and women. </w:t>
      </w:r>
      <w:r>
        <w:t xml:space="preserve">This is consistent with Australia’s obligations under the </w:t>
      </w:r>
      <w:r w:rsidRPr="005D2C51">
        <w:rPr>
          <w:i/>
        </w:rPr>
        <w:t>Conven</w:t>
      </w:r>
      <w:r w:rsidR="004B2618">
        <w:rPr>
          <w:i/>
        </w:rPr>
        <w:t>tion on the Elimination of All F</w:t>
      </w:r>
      <w:r w:rsidRPr="005D2C51">
        <w:rPr>
          <w:i/>
        </w:rPr>
        <w:t>orms of Discrimination against Women</w:t>
      </w:r>
      <w:r>
        <w:t xml:space="preserve"> (CEDAW).</w:t>
      </w:r>
      <w:r w:rsidR="00405C38">
        <w:t xml:space="preserve"> </w:t>
      </w:r>
      <w:r w:rsidR="00F74AE3">
        <w:t>However t</w:t>
      </w:r>
      <w:r w:rsidR="00405C38">
        <w:t xml:space="preserve">he Guidelines should clarify that the data to be collected for CEDAW purposes should be </w:t>
      </w:r>
      <w:r w:rsidR="00E97476">
        <w:t>‘</w:t>
      </w:r>
      <w:r w:rsidR="00405C38">
        <w:t>sex and gender-disaggregated data</w:t>
      </w:r>
      <w:r w:rsidR="00E97476">
        <w:t>’</w:t>
      </w:r>
      <w:r w:rsidR="00405C38">
        <w:t>.</w:t>
      </w:r>
      <w:r w:rsidR="00F625C1">
        <w:t xml:space="preserve"> Further, as an educative tool for public servants the Guidelines should clarify that departments and agencies should continue to collect th</w:t>
      </w:r>
      <w:r w:rsidR="00872692">
        <w:t>is data where it is necessary for</w:t>
      </w:r>
      <w:r w:rsidR="00F625C1">
        <w:t xml:space="preserve"> the ongoing monitoring of equality between men and women.</w:t>
      </w:r>
    </w:p>
    <w:p w:rsidR="00D96071" w:rsidRPr="00C85451" w:rsidRDefault="00F625C1" w:rsidP="00804BEA">
      <w:pPr>
        <w:pStyle w:val="SubmissionNormal"/>
        <w:ind w:hanging="717"/>
        <w:jc w:val="both"/>
        <w:rPr>
          <w:b/>
        </w:rPr>
      </w:pPr>
      <w:r w:rsidRPr="00C85451">
        <w:rPr>
          <w:b/>
        </w:rPr>
        <w:t>The Commission recommends that the Guidelines refer to the collection of sex and gender-disaggregated data in paragraph 24 and clarify that this data should continue to be co</w:t>
      </w:r>
      <w:r w:rsidR="00E97476">
        <w:rPr>
          <w:b/>
        </w:rPr>
        <w:t>llected where it is necessary for</w:t>
      </w:r>
      <w:r w:rsidR="00870952">
        <w:rPr>
          <w:b/>
        </w:rPr>
        <w:t xml:space="preserve"> the ongoing monitoring</w:t>
      </w:r>
      <w:r w:rsidRPr="00C85451">
        <w:rPr>
          <w:b/>
        </w:rPr>
        <w:t xml:space="preserve"> of equality between</w:t>
      </w:r>
      <w:r w:rsidR="00B91789">
        <w:rPr>
          <w:b/>
        </w:rPr>
        <w:t xml:space="preserve"> men and women [Recommendation 6</w:t>
      </w:r>
      <w:r w:rsidRPr="00C85451">
        <w:rPr>
          <w:b/>
        </w:rPr>
        <w:t>].</w:t>
      </w:r>
    </w:p>
    <w:p w:rsidR="00F8520F" w:rsidRDefault="009A22B5" w:rsidP="00BB1F19">
      <w:pPr>
        <w:pStyle w:val="Heading2"/>
      </w:pPr>
      <w:bookmarkStart w:id="18" w:name="_Toc354406842"/>
      <w:r>
        <w:lastRenderedPageBreak/>
        <w:t>Queries and complaints</w:t>
      </w:r>
      <w:bookmarkEnd w:id="18"/>
    </w:p>
    <w:p w:rsidR="00BB1F19" w:rsidRDefault="009A22B5" w:rsidP="00BB1F19">
      <w:pPr>
        <w:pStyle w:val="SubmissionNormal"/>
        <w:ind w:hanging="717"/>
        <w:jc w:val="both"/>
      </w:pPr>
      <w:r>
        <w:t xml:space="preserve">Subject to the passage of the </w:t>
      </w:r>
      <w:r w:rsidR="00A549E0">
        <w:t xml:space="preserve">SDA Bill </w:t>
      </w:r>
      <w:r>
        <w:t>the Guidelines could be amended to refer to the Commission as a mechanism to accept enquiries or complaints about alleged discrimination on the basis of gender identity or intersex status</w:t>
      </w:r>
      <w:r w:rsidR="000B7E32">
        <w:t xml:space="preserve"> under the SDA</w:t>
      </w:r>
      <w:r>
        <w:t>.</w:t>
      </w:r>
    </w:p>
    <w:p w:rsidR="00E80CCE" w:rsidRDefault="00E80CCE" w:rsidP="00BB1F19">
      <w:pPr>
        <w:pStyle w:val="SubmissionNormal"/>
        <w:ind w:hanging="717"/>
        <w:jc w:val="both"/>
      </w:pPr>
      <w:r>
        <w:rPr>
          <w:b/>
        </w:rPr>
        <w:t>The Commission recommends that the Guidelines refer</w:t>
      </w:r>
      <w:r w:rsidR="003B3622">
        <w:rPr>
          <w:b/>
        </w:rPr>
        <w:t>ence</w:t>
      </w:r>
      <w:r>
        <w:rPr>
          <w:b/>
        </w:rPr>
        <w:t xml:space="preserve"> the Commission as a mechanism for enquiries and complaints about gender identity and intersex discrimination</w:t>
      </w:r>
      <w:r w:rsidR="000B7E32">
        <w:rPr>
          <w:b/>
        </w:rPr>
        <w:t xml:space="preserve"> under the SDA</w:t>
      </w:r>
      <w:r>
        <w:rPr>
          <w:b/>
        </w:rPr>
        <w:t>, subject to the passage o</w:t>
      </w:r>
      <w:r w:rsidR="00B91789">
        <w:rPr>
          <w:b/>
        </w:rPr>
        <w:t>f the SDA Bill [Recommendation 7</w:t>
      </w:r>
      <w:r>
        <w:rPr>
          <w:b/>
        </w:rPr>
        <w:t>].</w:t>
      </w:r>
    </w:p>
    <w:p w:rsidR="00F62320" w:rsidRDefault="00BB1F19" w:rsidP="00BB1F19">
      <w:pPr>
        <w:pStyle w:val="Heading2"/>
      </w:pPr>
      <w:bookmarkStart w:id="19" w:name="_Toc354406843"/>
      <w:r>
        <w:t>Implementation</w:t>
      </w:r>
      <w:bookmarkEnd w:id="19"/>
    </w:p>
    <w:p w:rsidR="00065DE5" w:rsidRDefault="00065DE5" w:rsidP="00065DE5">
      <w:pPr>
        <w:pStyle w:val="SubmissionNormal"/>
        <w:ind w:hanging="717"/>
        <w:jc w:val="both"/>
      </w:pPr>
      <w:r>
        <w:t xml:space="preserve">The Commission </w:t>
      </w:r>
      <w:r w:rsidRPr="00065DE5">
        <w:t>acknowledges that a certain period of time i</w:t>
      </w:r>
      <w:r>
        <w:t xml:space="preserve">s necessary for government departments and agencies to update policies and systems to reflect the Guidelines. </w:t>
      </w:r>
      <w:r w:rsidR="00C968B8">
        <w:t xml:space="preserve">To ensure ongoing implementation within departments and agencies, an implementation report </w:t>
      </w:r>
      <w:r w:rsidR="00A549E0">
        <w:t xml:space="preserve">to the Attorney-General’s Department </w:t>
      </w:r>
      <w:r w:rsidR="00C968B8">
        <w:t>after 18 months may be beneficial.</w:t>
      </w:r>
    </w:p>
    <w:p w:rsidR="00E80CCE" w:rsidRDefault="00E80CCE" w:rsidP="00065DE5">
      <w:pPr>
        <w:pStyle w:val="SubmissionNormal"/>
        <w:ind w:hanging="717"/>
        <w:jc w:val="both"/>
      </w:pPr>
      <w:r>
        <w:rPr>
          <w:b/>
        </w:rPr>
        <w:t>The Commission recommends the Guidelines include a requirement for departments and agencies to provide an implementation report</w:t>
      </w:r>
      <w:r w:rsidR="00A549E0">
        <w:rPr>
          <w:b/>
        </w:rPr>
        <w:t xml:space="preserve"> to the Attorney-General’s Department</w:t>
      </w:r>
      <w:r>
        <w:rPr>
          <w:b/>
        </w:rPr>
        <w:t xml:space="preserve"> after 18 months [Recommendation </w:t>
      </w:r>
      <w:r w:rsidR="00B91789">
        <w:rPr>
          <w:b/>
        </w:rPr>
        <w:t>8</w:t>
      </w:r>
      <w:r>
        <w:rPr>
          <w:b/>
        </w:rPr>
        <w:t>].</w:t>
      </w:r>
    </w:p>
    <w:p w:rsidR="00065DE5" w:rsidRDefault="003F4EB5" w:rsidP="00505233">
      <w:pPr>
        <w:pStyle w:val="SubmissionNormal"/>
        <w:ind w:hanging="717"/>
        <w:jc w:val="both"/>
      </w:pPr>
      <w:r>
        <w:t>The Commission supports the Guidelines as a tool for standardising the collection and recognition of sex and gender across government departments and agencies, and as a tool for educating public servants. In addition to this the Commission recommends that</w:t>
      </w:r>
      <w:r w:rsidR="00505233">
        <w:t xml:space="preserve"> paragraph 40 </w:t>
      </w:r>
      <w:r w:rsidR="00F74AE3">
        <w:t>be</w:t>
      </w:r>
      <w:r w:rsidR="00505233">
        <w:t xml:space="preserve"> expanded to </w:t>
      </w:r>
      <w:r w:rsidR="00A549E0">
        <w:t xml:space="preserve">specifically </w:t>
      </w:r>
      <w:r w:rsidR="00505233">
        <w:t xml:space="preserve">require these departments and agencies to provide </w:t>
      </w:r>
      <w:r w:rsidR="005D2C51">
        <w:t xml:space="preserve">clear and </w:t>
      </w:r>
      <w:r w:rsidR="00505233">
        <w:t xml:space="preserve">accessible information </w:t>
      </w:r>
      <w:r w:rsidR="00466ADE">
        <w:t xml:space="preserve">to the public </w:t>
      </w:r>
      <w:r w:rsidR="00505233">
        <w:t>about how individuals can amend their gender in government documents.</w:t>
      </w:r>
      <w:r w:rsidR="00804BEA">
        <w:rPr>
          <w:rStyle w:val="EndnoteReference"/>
        </w:rPr>
        <w:endnoteReference w:id="10"/>
      </w:r>
    </w:p>
    <w:p w:rsidR="00E80CCE" w:rsidRDefault="00E80CCE" w:rsidP="00505233">
      <w:pPr>
        <w:pStyle w:val="SubmissionNormal"/>
        <w:ind w:hanging="717"/>
        <w:jc w:val="both"/>
      </w:pPr>
      <w:r w:rsidRPr="002E2EF7">
        <w:rPr>
          <w:b/>
        </w:rPr>
        <w:t>The Commission recommends the Guidelines include a requirement</w:t>
      </w:r>
      <w:r w:rsidR="0035537B" w:rsidRPr="002E2EF7">
        <w:rPr>
          <w:b/>
        </w:rPr>
        <w:t xml:space="preserve"> that departments and agencies provide clear and accessible information on their website about how sex and/or gender can be amended in government records and documents [Recommen</w:t>
      </w:r>
      <w:r w:rsidR="00B91789">
        <w:rPr>
          <w:b/>
        </w:rPr>
        <w:t>dation 9</w:t>
      </w:r>
      <w:r w:rsidR="0035537B" w:rsidRPr="002E2EF7">
        <w:rPr>
          <w:b/>
        </w:rPr>
        <w:t>].</w:t>
      </w:r>
    </w:p>
    <w:sectPr w:rsidR="00E80CCE"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555" w:rsidRDefault="00A77555" w:rsidP="00F14C6D">
      <w:r>
        <w:separator/>
      </w:r>
    </w:p>
  </w:endnote>
  <w:endnote w:type="continuationSeparator" w:id="0">
    <w:p w:rsidR="00A77555" w:rsidRDefault="00A77555" w:rsidP="00F14C6D">
      <w:r>
        <w:continuationSeparator/>
      </w:r>
    </w:p>
  </w:endnote>
  <w:endnote w:id="1">
    <w:p w:rsidR="00A77555" w:rsidRDefault="00A77555" w:rsidP="00062864">
      <w:pPr>
        <w:pStyle w:val="EndnoteText"/>
      </w:pPr>
      <w:r>
        <w:rPr>
          <w:rStyle w:val="EndnoteReference"/>
        </w:rPr>
        <w:endnoteRef/>
      </w:r>
      <w:r>
        <w:t xml:space="preserve"> Australian Human Rights Commission, </w:t>
      </w:r>
      <w:r>
        <w:rPr>
          <w:i/>
        </w:rPr>
        <w:t xml:space="preserve">The sex and gender diversity project: Concluding paper </w:t>
      </w:r>
      <w:r>
        <w:t xml:space="preserve">(2009), rec 10. At </w:t>
      </w:r>
    </w:p>
    <w:p w:rsidR="00A77555" w:rsidRDefault="003E232F" w:rsidP="00062864">
      <w:pPr>
        <w:pStyle w:val="EndnoteText"/>
      </w:pPr>
      <w:hyperlink r:id="rId1" w:history="1">
        <w:r w:rsidR="00A77555" w:rsidRPr="00615630">
          <w:rPr>
            <w:rStyle w:val="Hyperlink"/>
          </w:rPr>
          <w:t>http://www.humanrights.gov.au/sex-files-legal-recognition-concluding-paper-sex-and-gender-2009</w:t>
        </w:r>
      </w:hyperlink>
      <w:r w:rsidR="00A77555">
        <w:t xml:space="preserve"> (viewed 18 April 2013).</w:t>
      </w:r>
    </w:p>
  </w:endnote>
  <w:endnote w:id="2">
    <w:p w:rsidR="00A77555" w:rsidRPr="00066499" w:rsidRDefault="00A77555" w:rsidP="00066499">
      <w:pPr>
        <w:pStyle w:val="EndnoteText"/>
      </w:pPr>
      <w:r>
        <w:rPr>
          <w:rStyle w:val="EndnoteReference"/>
        </w:rPr>
        <w:endnoteRef/>
      </w:r>
      <w:r>
        <w:t xml:space="preserve"> Australian Human Rights Commission, above.</w:t>
      </w:r>
    </w:p>
  </w:endnote>
  <w:endnote w:id="3">
    <w:p w:rsidR="00A77555" w:rsidRPr="005C1846" w:rsidRDefault="00A77555" w:rsidP="00BF6F96">
      <w:pPr>
        <w:pStyle w:val="EndnoteText"/>
      </w:pPr>
      <w:r>
        <w:rPr>
          <w:rStyle w:val="EndnoteReference"/>
        </w:rPr>
        <w:endnoteRef/>
      </w:r>
      <w:r>
        <w:t xml:space="preserve"> Australian Government, </w:t>
      </w:r>
      <w:r>
        <w:rPr>
          <w:i/>
        </w:rPr>
        <w:t xml:space="preserve">National Human Rights Action Plan </w:t>
      </w:r>
      <w:r>
        <w:t xml:space="preserve">(2012), item 209. At </w:t>
      </w:r>
      <w:hyperlink r:id="rId2" w:history="1">
        <w:r w:rsidRPr="00E26585">
          <w:rPr>
            <w:rStyle w:val="Hyperlink"/>
          </w:rPr>
          <w:t>http://www.ag.gov.au/Consultations/Pages/NationalHumanRightsActionPlan.aspx</w:t>
        </w:r>
      </w:hyperlink>
      <w:r>
        <w:t xml:space="preserve"> (viewed 8 April 2013).</w:t>
      </w:r>
    </w:p>
  </w:endnote>
  <w:endnote w:id="4">
    <w:p w:rsidR="00A77555" w:rsidRDefault="00A77555" w:rsidP="00BF6F96">
      <w:pPr>
        <w:pStyle w:val="EndnoteText"/>
      </w:pPr>
      <w:r>
        <w:rPr>
          <w:rStyle w:val="EndnoteReference"/>
        </w:rPr>
        <w:endnoteRef/>
      </w:r>
      <w:r>
        <w:t xml:space="preserve"> Australian Government, </w:t>
      </w:r>
      <w:r>
        <w:rPr>
          <w:i/>
        </w:rPr>
        <w:t>National Human Rights Action Plan</w:t>
      </w:r>
      <w:r>
        <w:t xml:space="preserve">, above, item 208. </w:t>
      </w:r>
    </w:p>
  </w:endnote>
  <w:endnote w:id="5">
    <w:p w:rsidR="00A77555" w:rsidRDefault="00A77555">
      <w:pPr>
        <w:pStyle w:val="EndnoteText"/>
      </w:pPr>
      <w:r>
        <w:rPr>
          <w:rStyle w:val="EndnoteReference"/>
        </w:rPr>
        <w:endnoteRef/>
      </w:r>
      <w:r>
        <w:t xml:space="preserve"> Australian Human Rights Commission, </w:t>
      </w:r>
      <w:r w:rsidRPr="005D2C51">
        <w:t>note</w:t>
      </w:r>
      <w:r>
        <w:t xml:space="preserve"> 1, rec 11. </w:t>
      </w:r>
    </w:p>
  </w:endnote>
  <w:endnote w:id="6">
    <w:p w:rsidR="00A77555" w:rsidRPr="003D251C" w:rsidRDefault="00A77555">
      <w:pPr>
        <w:pStyle w:val="EndnoteText"/>
      </w:pPr>
      <w:r>
        <w:rPr>
          <w:rStyle w:val="EndnoteReference"/>
        </w:rPr>
        <w:endnoteRef/>
      </w:r>
      <w:r>
        <w:t xml:space="preserve"> Australian Human Rights Commission, </w:t>
      </w:r>
      <w:r w:rsidRPr="005D2C51">
        <w:t>above</w:t>
      </w:r>
      <w:r>
        <w:t xml:space="preserve">, pp 11-12. Also see Australian Human Rights Commission, </w:t>
      </w:r>
      <w:r>
        <w:rPr>
          <w:i/>
        </w:rPr>
        <w:t xml:space="preserve">Protection from discrimination on the basis of sexual orientation and sex and/or gender identity </w:t>
      </w:r>
      <w:r>
        <w:t xml:space="preserve">(2011), pp 7-8. At </w:t>
      </w:r>
    </w:p>
    <w:p w:rsidR="00A77555" w:rsidRPr="003D251C" w:rsidRDefault="003E232F" w:rsidP="00E762BB">
      <w:pPr>
        <w:pStyle w:val="EndnoteText"/>
      </w:pPr>
      <w:hyperlink r:id="rId3" w:history="1">
        <w:r w:rsidR="00A77555" w:rsidRPr="00615630">
          <w:rPr>
            <w:rStyle w:val="Hyperlink"/>
          </w:rPr>
          <w:t>http://www.humanrights.gov.au/publications/consultation-protection-discrimination-basis-sexual-orientation-and-sex-andor-gender</w:t>
        </w:r>
      </w:hyperlink>
      <w:r w:rsidR="00A77555">
        <w:t xml:space="preserve"> (viewed 18 April 2013).</w:t>
      </w:r>
    </w:p>
  </w:endnote>
  <w:endnote w:id="7">
    <w:p w:rsidR="00A77555" w:rsidRPr="00EA393D" w:rsidRDefault="00A77555">
      <w:pPr>
        <w:pStyle w:val="EndnoteText"/>
      </w:pPr>
      <w:r>
        <w:rPr>
          <w:rStyle w:val="EndnoteReference"/>
        </w:rPr>
        <w:endnoteRef/>
      </w:r>
      <w:r>
        <w:t xml:space="preserve"> </w:t>
      </w:r>
      <w:r>
        <w:rPr>
          <w:i/>
        </w:rPr>
        <w:t xml:space="preserve">The Yogyakarta Principles: Principles on the application of international human rights law in relation to sexual orientation and gender identity </w:t>
      </w:r>
      <w:r>
        <w:t xml:space="preserve">(2007). At </w:t>
      </w:r>
      <w:hyperlink r:id="rId4" w:history="1">
        <w:r w:rsidRPr="00497FEB">
          <w:rPr>
            <w:rStyle w:val="Hyperlink"/>
          </w:rPr>
          <w:t>http://www.ypinaction.org/</w:t>
        </w:r>
      </w:hyperlink>
      <w:r>
        <w:t xml:space="preserve"> (viewed 22 April 2013).</w:t>
      </w:r>
    </w:p>
  </w:endnote>
  <w:endnote w:id="8">
    <w:p w:rsidR="00A77555" w:rsidRDefault="00A77555">
      <w:pPr>
        <w:pStyle w:val="EndnoteText"/>
      </w:pPr>
      <w:r>
        <w:rPr>
          <w:rStyle w:val="EndnoteReference"/>
        </w:rPr>
        <w:endnoteRef/>
      </w:r>
      <w:r>
        <w:t xml:space="preserve"> See Australian Government, </w:t>
      </w:r>
      <w:r>
        <w:rPr>
          <w:i/>
        </w:rPr>
        <w:t xml:space="preserve">Australian Government Guidelines on the Recognition of Gender (Consultation Draft) </w:t>
      </w:r>
      <w:r>
        <w:t xml:space="preserve">(2013), para 20. Also see Australian Human Rights Commission, </w:t>
      </w:r>
      <w:r w:rsidRPr="005D2C51">
        <w:t>note 1</w:t>
      </w:r>
      <w:r>
        <w:t xml:space="preserve">, p 31. </w:t>
      </w:r>
    </w:p>
  </w:endnote>
  <w:endnote w:id="9">
    <w:p w:rsidR="00A77555" w:rsidRDefault="00A77555">
      <w:pPr>
        <w:pStyle w:val="EndnoteText"/>
      </w:pPr>
      <w:r>
        <w:rPr>
          <w:rStyle w:val="EndnoteReference"/>
        </w:rPr>
        <w:endnoteRef/>
      </w:r>
      <w:r>
        <w:t xml:space="preserve"> See for example Australian Human Rights Commission, </w:t>
      </w:r>
      <w:r w:rsidRPr="005D2C51">
        <w:t>above</w:t>
      </w:r>
      <w:r>
        <w:t xml:space="preserve">, s 8.2. </w:t>
      </w:r>
    </w:p>
  </w:endnote>
  <w:endnote w:id="10">
    <w:p w:rsidR="00A77555" w:rsidRDefault="00A77555" w:rsidP="00E762BB">
      <w:pPr>
        <w:pStyle w:val="EndnoteText"/>
      </w:pPr>
      <w:r>
        <w:rPr>
          <w:rStyle w:val="EndnoteReference"/>
        </w:rPr>
        <w:endnoteRef/>
      </w:r>
      <w:r>
        <w:t xml:space="preserve"> Also see Australian Government, </w:t>
      </w:r>
      <w:r>
        <w:rPr>
          <w:i/>
        </w:rPr>
        <w:t xml:space="preserve">The sex and gender diversity project: Concluding paper </w:t>
      </w:r>
      <w:r>
        <w:t xml:space="preserve">(2009), rec 15. At </w:t>
      </w:r>
    </w:p>
    <w:p w:rsidR="00A77555" w:rsidRDefault="003E232F" w:rsidP="00E762BB">
      <w:pPr>
        <w:pStyle w:val="EndnoteText"/>
      </w:pPr>
      <w:hyperlink r:id="rId5" w:history="1">
        <w:r w:rsidR="00A77555" w:rsidRPr="00615630">
          <w:rPr>
            <w:rStyle w:val="Hyperlink"/>
          </w:rPr>
          <w:t>http://www.humanrights.gov.au/sex-files-legal-recognition-concluding-paper-sex-and-gender-2009</w:t>
        </w:r>
      </w:hyperlink>
      <w:r w:rsidR="00A77555">
        <w:t xml:space="preserve"> (viewed 18 April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E5" w:rsidRDefault="003766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55" w:rsidRPr="0090165F" w:rsidRDefault="00A77555" w:rsidP="00162A8D">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55" w:rsidRPr="004A187B" w:rsidRDefault="00A77555" w:rsidP="008B23BC">
    <w:pPr>
      <w:pStyle w:val="Footer"/>
    </w:pPr>
    <w:r>
      <w:rPr>
        <w:noProof/>
      </w:rPr>
      <mc:AlternateContent>
        <mc:Choice Requires="wps">
          <w:drawing>
            <wp:anchor distT="0" distB="0" distL="114300" distR="114300" simplePos="0" relativeHeight="251657216" behindDoc="0" locked="0" layoutInCell="1" allowOverlap="1" wp14:anchorId="6E56C36F" wp14:editId="11946380">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A77555" w:rsidRPr="0003606D" w:rsidRDefault="00A77555" w:rsidP="0003606D">
                          <w:pPr>
                            <w:pStyle w:val="coveraddresses"/>
                          </w:pPr>
                          <w:r w:rsidRPr="0003606D">
                            <w:t>ABN 47 996 232 602</w:t>
                          </w:r>
                        </w:p>
                        <w:p w:rsidR="00A77555" w:rsidRPr="0003606D" w:rsidRDefault="00A77555" w:rsidP="0003606D">
                          <w:pPr>
                            <w:pStyle w:val="coveraddresses"/>
                          </w:pPr>
                          <w:r w:rsidRPr="0003606D">
                            <w:t>Level 3, 175 Pitt Street, Sydney NSW 2000</w:t>
                          </w:r>
                        </w:p>
                        <w:p w:rsidR="00A77555" w:rsidRPr="0003606D" w:rsidRDefault="00A77555" w:rsidP="0003606D">
                          <w:pPr>
                            <w:pStyle w:val="coveraddresses"/>
                          </w:pPr>
                          <w:r w:rsidRPr="0003606D">
                            <w:t>GPO Box 5218, Sydney NSW 2001</w:t>
                          </w:r>
                        </w:p>
                        <w:p w:rsidR="00A77555" w:rsidRPr="0003606D" w:rsidRDefault="00A77555" w:rsidP="0003606D">
                          <w:pPr>
                            <w:pStyle w:val="coveraddresses"/>
                          </w:pPr>
                          <w:r w:rsidRPr="0003606D">
                            <w:t>General enquiries 1300 369 711</w:t>
                          </w:r>
                        </w:p>
                        <w:p w:rsidR="00A77555" w:rsidRPr="0003606D" w:rsidRDefault="00A77555" w:rsidP="0003606D">
                          <w:pPr>
                            <w:pStyle w:val="coveraddresses"/>
                          </w:pPr>
                          <w:r w:rsidRPr="0003606D">
                            <w:t>Complaints info line 1300 656 419</w:t>
                          </w:r>
                        </w:p>
                        <w:p w:rsidR="00A77555" w:rsidRPr="0003606D" w:rsidRDefault="00A77555" w:rsidP="0003606D">
                          <w:pPr>
                            <w:pStyle w:val="coveraddresses"/>
                          </w:pPr>
                          <w:r w:rsidRPr="0003606D">
                            <w:t>TTY 1800 620 241</w:t>
                          </w:r>
                        </w:p>
                        <w:p w:rsidR="00A77555" w:rsidRPr="00B63D24" w:rsidRDefault="00A77555"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DD2AF0" w:rsidRPr="0003606D" w:rsidRDefault="00DD2AF0" w:rsidP="0003606D">
                    <w:pPr>
                      <w:pStyle w:val="coveraddresses"/>
                    </w:pPr>
                    <w:r w:rsidRPr="0003606D">
                      <w:t>ABN 47 996 232 602</w:t>
                    </w:r>
                  </w:p>
                  <w:p w:rsidR="00DD2AF0" w:rsidRPr="0003606D" w:rsidRDefault="00DD2AF0" w:rsidP="0003606D">
                    <w:pPr>
                      <w:pStyle w:val="coveraddresses"/>
                    </w:pPr>
                    <w:r w:rsidRPr="0003606D">
                      <w:t>Level 3, 175 Pitt Street, Sydney NSW 2000</w:t>
                    </w:r>
                  </w:p>
                  <w:p w:rsidR="00DD2AF0" w:rsidRPr="0003606D" w:rsidRDefault="00DD2AF0" w:rsidP="0003606D">
                    <w:pPr>
                      <w:pStyle w:val="coveraddresses"/>
                    </w:pPr>
                    <w:r w:rsidRPr="0003606D">
                      <w:t>GPO Box 5218, Sydney NSW 2001</w:t>
                    </w:r>
                  </w:p>
                  <w:p w:rsidR="00DD2AF0" w:rsidRPr="0003606D" w:rsidRDefault="00DD2AF0" w:rsidP="0003606D">
                    <w:pPr>
                      <w:pStyle w:val="coveraddresses"/>
                    </w:pPr>
                    <w:r w:rsidRPr="0003606D">
                      <w:t>General enquiries 1300 369 711</w:t>
                    </w:r>
                  </w:p>
                  <w:p w:rsidR="00DD2AF0" w:rsidRPr="0003606D" w:rsidRDefault="00DD2AF0" w:rsidP="0003606D">
                    <w:pPr>
                      <w:pStyle w:val="coveraddresses"/>
                    </w:pPr>
                    <w:r w:rsidRPr="0003606D">
                      <w:t>Complaints info line 1300 656 419</w:t>
                    </w:r>
                  </w:p>
                  <w:p w:rsidR="00DD2AF0" w:rsidRPr="0003606D" w:rsidRDefault="00DD2AF0" w:rsidP="0003606D">
                    <w:pPr>
                      <w:pStyle w:val="coveraddresses"/>
                    </w:pPr>
                    <w:r w:rsidRPr="0003606D">
                      <w:t>TTY 1800 620 241</w:t>
                    </w:r>
                  </w:p>
                  <w:p w:rsidR="00DD2AF0" w:rsidRPr="00B63D24" w:rsidRDefault="00DD2AF0" w:rsidP="00B63D24">
                    <w:pPr>
                      <w:pStyle w:val="Footer"/>
                    </w:pPr>
                    <w:r w:rsidRPr="00B63D24">
                      <w:tab/>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55" w:rsidRPr="0090165F" w:rsidRDefault="00A77555"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3E232F">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555" w:rsidRDefault="00A77555" w:rsidP="00F14C6D">
      <w:r>
        <w:separator/>
      </w:r>
    </w:p>
  </w:footnote>
  <w:footnote w:type="continuationSeparator" w:id="0">
    <w:p w:rsidR="00A77555" w:rsidRDefault="00A77555"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6E5" w:rsidRDefault="003766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55" w:rsidRPr="00D27262" w:rsidRDefault="00A77555" w:rsidP="002B1B65">
    <w:pPr>
      <w:spacing w:before="0" w:after="0"/>
      <w:jc w:val="right"/>
      <w:rPr>
        <w:sz w:val="22"/>
        <w:szCs w:val="22"/>
      </w:rPr>
    </w:pPr>
    <w:r w:rsidRPr="00D27262">
      <w:rPr>
        <w:sz w:val="22"/>
        <w:szCs w:val="22"/>
      </w:rPr>
      <w:t>Au</w:t>
    </w:r>
    <w:r>
      <w:rPr>
        <w:sz w:val="22"/>
        <w:szCs w:val="22"/>
      </w:rPr>
      <w:t>stralian Human Rights Commission</w:t>
    </w:r>
  </w:p>
  <w:p w:rsidR="00A77555" w:rsidRDefault="00A77555"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A77555" w:rsidRPr="00B85DD4" w:rsidTr="00165E3C">
      <w:trPr>
        <w:trHeight w:val="1276"/>
      </w:trPr>
      <w:tc>
        <w:tcPr>
          <w:tcW w:w="1508" w:type="dxa"/>
        </w:tcPr>
        <w:p w:rsidR="00A77555" w:rsidRPr="00B85DD4" w:rsidRDefault="003E232F" w:rsidP="00B520BC">
          <w:pPr>
            <w:pStyle w:val="Header"/>
            <w:tabs>
              <w:tab w:val="left" w:pos="4686"/>
              <w:tab w:val="left" w:pos="7088"/>
              <w:tab w:val="left" w:pos="7242"/>
            </w:tabs>
            <w:ind w:left="-108"/>
            <w:rPr>
              <w:rFonts w:cs="ArialMT"/>
              <w:b/>
              <w:spacing w:val="-20"/>
            </w:rP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4097" type="#_x0000_t75" style="position:absolute;left:0;text-align:left;margin-left:-71.05pt;margin-top:-116pt;width:595.65pt;height:870.15pt;z-index:-251658240;mso-position-horizontal-relative:margin;mso-position-vertical-relative:margin" o:allowincell="f">
                <v:imagedata r:id="rId1" o:title="MS word cover1"/>
                <w10:wrap anchorx="margin" anchory="margin"/>
              </v:shape>
            </w:pict>
          </w:r>
        </w:p>
      </w:tc>
      <w:tc>
        <w:tcPr>
          <w:tcW w:w="2688" w:type="dxa"/>
          <w:vAlign w:val="center"/>
        </w:tcPr>
        <w:p w:rsidR="00A77555" w:rsidRPr="00B85DD4" w:rsidRDefault="00A77555" w:rsidP="002B1B65">
          <w:pPr>
            <w:spacing w:before="0" w:after="0"/>
            <w:rPr>
              <w:rFonts w:cs="ArialMT"/>
              <w:i/>
              <w:color w:val="808080"/>
              <w:sz w:val="17"/>
            </w:rPr>
          </w:pPr>
        </w:p>
      </w:tc>
      <w:tc>
        <w:tcPr>
          <w:tcW w:w="2302" w:type="dxa"/>
        </w:tcPr>
        <w:p w:rsidR="00A77555" w:rsidRPr="00B85DD4" w:rsidRDefault="00A77555" w:rsidP="00B520BC">
          <w:pPr>
            <w:pStyle w:val="HeaderFooter"/>
            <w:rPr>
              <w:b/>
              <w:spacing w:val="-20"/>
              <w:sz w:val="40"/>
            </w:rPr>
          </w:pPr>
        </w:p>
      </w:tc>
      <w:tc>
        <w:tcPr>
          <w:tcW w:w="2130" w:type="dxa"/>
        </w:tcPr>
        <w:p w:rsidR="00A77555" w:rsidRPr="00B85DD4" w:rsidRDefault="00A77555" w:rsidP="00B520BC">
          <w:pPr>
            <w:pStyle w:val="HeaderFooter"/>
            <w:rPr>
              <w:b/>
              <w:spacing w:val="-20"/>
              <w:sz w:val="40"/>
            </w:rPr>
          </w:pPr>
        </w:p>
      </w:tc>
      <w:tc>
        <w:tcPr>
          <w:tcW w:w="1721" w:type="dxa"/>
        </w:tcPr>
        <w:p w:rsidR="00A77555" w:rsidRPr="00B85DD4" w:rsidRDefault="00A77555" w:rsidP="00B520BC">
          <w:pPr>
            <w:pStyle w:val="HeaderFooter"/>
            <w:spacing w:before="227" w:after="340"/>
            <w:rPr>
              <w:b/>
              <w:spacing w:val="-20"/>
              <w:sz w:val="40"/>
            </w:rPr>
          </w:pPr>
        </w:p>
      </w:tc>
    </w:tr>
  </w:tbl>
  <w:p w:rsidR="00A77555" w:rsidRDefault="00A775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55" w:rsidRDefault="00A775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555" w:rsidRPr="00D27262" w:rsidRDefault="00A77555" w:rsidP="00B34946">
    <w:pPr>
      <w:spacing w:before="0" w:after="60"/>
      <w:jc w:val="right"/>
      <w:rPr>
        <w:sz w:val="22"/>
        <w:szCs w:val="22"/>
      </w:rPr>
    </w:pPr>
    <w:r w:rsidRPr="00D27262">
      <w:rPr>
        <w:sz w:val="22"/>
        <w:szCs w:val="22"/>
      </w:rPr>
      <w:t>Au</w:t>
    </w:r>
    <w:r>
      <w:rPr>
        <w:sz w:val="22"/>
        <w:szCs w:val="22"/>
      </w:rPr>
      <w:t>stralian Human Rights Commission</w:t>
    </w:r>
  </w:p>
  <w:p w:rsidR="00A77555" w:rsidRPr="00D729AD" w:rsidRDefault="00A77555" w:rsidP="002F4CE1">
    <w:pPr>
      <w:pStyle w:val="Footer"/>
      <w:spacing w:after="240"/>
      <w:jc w:val="right"/>
      <w:rPr>
        <w:i/>
        <w:szCs w:val="18"/>
      </w:rPr>
    </w:pPr>
    <w:r w:rsidRPr="00717175">
      <w:rPr>
        <w:i/>
        <w:szCs w:val="18"/>
      </w:rPr>
      <w:t xml:space="preserve">Submission to </w:t>
    </w:r>
    <w:r>
      <w:rPr>
        <w:i/>
        <w:szCs w:val="18"/>
      </w:rPr>
      <w:t>the Attorney-General’s Department – April 2013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A77555" w:rsidRPr="00B85DD4" w:rsidTr="002B1B65">
      <w:trPr>
        <w:trHeight w:val="1603"/>
      </w:trPr>
      <w:tc>
        <w:tcPr>
          <w:tcW w:w="1508" w:type="dxa"/>
        </w:tcPr>
        <w:p w:rsidR="00A77555" w:rsidRPr="00B85DD4" w:rsidRDefault="00A77555"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A77555" w:rsidRPr="00D36BB2" w:rsidRDefault="00A77555" w:rsidP="002B1B65">
          <w:pPr>
            <w:pStyle w:val="LogoType"/>
            <w:pBdr>
              <w:bottom w:val="single" w:sz="4" w:space="1" w:color="808080"/>
            </w:pBdr>
            <w:spacing w:line="240" w:lineRule="auto"/>
          </w:pPr>
          <w:r w:rsidRPr="00D36BB2">
            <w:t>Australian</w:t>
          </w:r>
        </w:p>
        <w:p w:rsidR="00A77555" w:rsidRPr="00D36BB2" w:rsidRDefault="00A77555" w:rsidP="002B1B65">
          <w:pPr>
            <w:pStyle w:val="LogoType"/>
            <w:pBdr>
              <w:bottom w:val="single" w:sz="4" w:space="1" w:color="808080"/>
            </w:pBdr>
            <w:spacing w:line="240" w:lineRule="auto"/>
          </w:pPr>
          <w:r w:rsidRPr="00D36BB2">
            <w:t>Human Rights</w:t>
          </w:r>
        </w:p>
        <w:p w:rsidR="00A77555" w:rsidRPr="00D36BB2" w:rsidRDefault="00A77555" w:rsidP="002B1B65">
          <w:pPr>
            <w:pStyle w:val="LogoType"/>
            <w:pBdr>
              <w:bottom w:val="single" w:sz="4" w:space="1" w:color="808080"/>
            </w:pBdr>
            <w:spacing w:line="240" w:lineRule="auto"/>
          </w:pPr>
          <w:r w:rsidRPr="00D36BB2">
            <w:t>Commission</w:t>
          </w:r>
        </w:p>
        <w:p w:rsidR="00A77555" w:rsidRPr="00B85DD4" w:rsidRDefault="00A77555"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A77555" w:rsidRPr="00B85DD4" w:rsidRDefault="00A77555" w:rsidP="00B520BC">
          <w:pPr>
            <w:pStyle w:val="HeaderFooter"/>
            <w:rPr>
              <w:b/>
              <w:spacing w:val="-20"/>
              <w:sz w:val="40"/>
            </w:rPr>
          </w:pPr>
        </w:p>
      </w:tc>
      <w:tc>
        <w:tcPr>
          <w:tcW w:w="2130" w:type="dxa"/>
        </w:tcPr>
        <w:p w:rsidR="00A77555" w:rsidRPr="00B85DD4" w:rsidRDefault="00A77555" w:rsidP="00B520BC">
          <w:pPr>
            <w:pStyle w:val="HeaderFooter"/>
            <w:rPr>
              <w:b/>
              <w:spacing w:val="-20"/>
              <w:sz w:val="40"/>
            </w:rPr>
          </w:pPr>
        </w:p>
      </w:tc>
      <w:tc>
        <w:tcPr>
          <w:tcW w:w="1721" w:type="dxa"/>
        </w:tcPr>
        <w:p w:rsidR="00A77555" w:rsidRPr="00B85DD4" w:rsidRDefault="00A77555" w:rsidP="00B520BC">
          <w:pPr>
            <w:pStyle w:val="HeaderFooter"/>
            <w:spacing w:before="227" w:after="340"/>
            <w:rPr>
              <w:b/>
              <w:spacing w:val="-20"/>
              <w:sz w:val="40"/>
            </w:rPr>
          </w:pPr>
        </w:p>
      </w:tc>
    </w:tr>
  </w:tbl>
  <w:p w:rsidR="00A77555" w:rsidRDefault="00A775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nsid w:val="0F4A3032"/>
    <w:multiLevelType w:val="hybridMultilevel"/>
    <w:tmpl w:val="515EF4E4"/>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2">
    <w:nsid w:val="1DCB237C"/>
    <w:multiLevelType w:val="hybridMultilevel"/>
    <w:tmpl w:val="B238BF6E"/>
    <w:lvl w:ilvl="0" w:tplc="E1CA8FCE">
      <w:start w:val="1"/>
      <w:numFmt w:val="decimal"/>
      <w:pStyle w:val="SubmissionNormal"/>
      <w:lvlText w:val="%1."/>
      <w:lvlJc w:val="left"/>
      <w:pPr>
        <w:tabs>
          <w:tab w:val="num" w:pos="1284"/>
        </w:tabs>
        <w:ind w:left="1284"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2004"/>
        </w:tabs>
        <w:ind w:left="2004" w:hanging="360"/>
      </w:pPr>
      <w:rPr>
        <w:rFonts w:ascii="Symbol" w:hAnsi="Symbol" w:hint="default"/>
      </w:rPr>
    </w:lvl>
    <w:lvl w:ilvl="2" w:tplc="0C09001B" w:tentative="1">
      <w:start w:val="1"/>
      <w:numFmt w:val="lowerRoman"/>
      <w:lvlText w:val="%3."/>
      <w:lvlJc w:val="right"/>
      <w:pPr>
        <w:tabs>
          <w:tab w:val="num" w:pos="2724"/>
        </w:tabs>
        <w:ind w:left="2724" w:hanging="180"/>
      </w:pPr>
    </w:lvl>
    <w:lvl w:ilvl="3" w:tplc="0C09000F" w:tentative="1">
      <w:start w:val="1"/>
      <w:numFmt w:val="decimal"/>
      <w:lvlText w:val="%4."/>
      <w:lvlJc w:val="left"/>
      <w:pPr>
        <w:tabs>
          <w:tab w:val="num" w:pos="3444"/>
        </w:tabs>
        <w:ind w:left="3444" w:hanging="360"/>
      </w:pPr>
    </w:lvl>
    <w:lvl w:ilvl="4" w:tplc="0C090019" w:tentative="1">
      <w:start w:val="1"/>
      <w:numFmt w:val="lowerLetter"/>
      <w:lvlText w:val="%5."/>
      <w:lvlJc w:val="left"/>
      <w:pPr>
        <w:tabs>
          <w:tab w:val="num" w:pos="4164"/>
        </w:tabs>
        <w:ind w:left="4164" w:hanging="360"/>
      </w:pPr>
    </w:lvl>
    <w:lvl w:ilvl="5" w:tplc="0C09001B" w:tentative="1">
      <w:start w:val="1"/>
      <w:numFmt w:val="lowerRoman"/>
      <w:lvlText w:val="%6."/>
      <w:lvlJc w:val="right"/>
      <w:pPr>
        <w:tabs>
          <w:tab w:val="num" w:pos="4884"/>
        </w:tabs>
        <w:ind w:left="4884" w:hanging="180"/>
      </w:pPr>
    </w:lvl>
    <w:lvl w:ilvl="6" w:tplc="0C09000F" w:tentative="1">
      <w:start w:val="1"/>
      <w:numFmt w:val="decimal"/>
      <w:lvlText w:val="%7."/>
      <w:lvlJc w:val="left"/>
      <w:pPr>
        <w:tabs>
          <w:tab w:val="num" w:pos="5604"/>
        </w:tabs>
        <w:ind w:left="5604" w:hanging="360"/>
      </w:pPr>
    </w:lvl>
    <w:lvl w:ilvl="7" w:tplc="0C090019" w:tentative="1">
      <w:start w:val="1"/>
      <w:numFmt w:val="lowerLetter"/>
      <w:lvlText w:val="%8."/>
      <w:lvlJc w:val="left"/>
      <w:pPr>
        <w:tabs>
          <w:tab w:val="num" w:pos="6324"/>
        </w:tabs>
        <w:ind w:left="6324" w:hanging="360"/>
      </w:pPr>
    </w:lvl>
    <w:lvl w:ilvl="8" w:tplc="0C09001B" w:tentative="1">
      <w:start w:val="1"/>
      <w:numFmt w:val="lowerRoman"/>
      <w:lvlText w:val="%9."/>
      <w:lvlJc w:val="right"/>
      <w:pPr>
        <w:tabs>
          <w:tab w:val="num" w:pos="7044"/>
        </w:tabs>
        <w:ind w:left="7044" w:hanging="18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97817C3"/>
    <w:multiLevelType w:val="multilevel"/>
    <w:tmpl w:val="20A0E41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ascii="Arial" w:hAnsi="Arial" w:hint="default"/>
        <w:b w:val="0"/>
        <w:i/>
        <w:sz w:val="24"/>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0FE3102"/>
    <w:multiLevelType w:val="hybridMultilevel"/>
    <w:tmpl w:val="9A3C872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6">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0B76788"/>
    <w:multiLevelType w:val="hybridMultilevel"/>
    <w:tmpl w:val="1F86A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5353FB5"/>
    <w:multiLevelType w:val="hybridMultilevel"/>
    <w:tmpl w:val="6DEA2E02"/>
    <w:lvl w:ilvl="0" w:tplc="A32EC982">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B5E0B61"/>
    <w:multiLevelType w:val="hybridMultilevel"/>
    <w:tmpl w:val="060EAE80"/>
    <w:lvl w:ilvl="0" w:tplc="FFFFFFFF">
      <w:start w:val="1"/>
      <w:numFmt w:val="bullet"/>
      <w:lvlText w:val=""/>
      <w:lvlJc w:val="left"/>
      <w:pPr>
        <w:tabs>
          <w:tab w:val="num" w:pos="1800"/>
        </w:tabs>
        <w:ind w:left="1800" w:hanging="360"/>
      </w:pPr>
      <w:rPr>
        <w:rFonts w:ascii="Symbol" w:hAnsi="Symbol" w:hint="default"/>
      </w:rPr>
    </w:lvl>
    <w:lvl w:ilvl="1" w:tplc="0C090001">
      <w:start w:val="1"/>
      <w:numFmt w:val="bullet"/>
      <w:lvlText w:val=""/>
      <w:lvlJc w:val="left"/>
      <w:pPr>
        <w:tabs>
          <w:tab w:val="num" w:pos="2520"/>
        </w:tabs>
        <w:ind w:left="2520" w:hanging="360"/>
      </w:pPr>
      <w:rPr>
        <w:rFonts w:ascii="Symbol" w:hAnsi="Symbol"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entury Gothic"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entury Gothic"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22">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5B575343"/>
    <w:multiLevelType w:val="hybridMultilevel"/>
    <w:tmpl w:val="172668A6"/>
    <w:lvl w:ilvl="0" w:tplc="0C090001">
      <w:start w:val="1"/>
      <w:numFmt w:val="bullet"/>
      <w:lvlText w:val=""/>
      <w:lvlJc w:val="left"/>
      <w:pPr>
        <w:ind w:left="1448" w:hanging="360"/>
      </w:pPr>
      <w:rPr>
        <w:rFonts w:ascii="Symbol" w:hAnsi="Symbol" w:hint="default"/>
      </w:rPr>
    </w:lvl>
    <w:lvl w:ilvl="1" w:tplc="0C090003">
      <w:start w:val="1"/>
      <w:numFmt w:val="bullet"/>
      <w:lvlText w:val="o"/>
      <w:lvlJc w:val="left"/>
      <w:pPr>
        <w:ind w:left="4046" w:hanging="360"/>
      </w:pPr>
      <w:rPr>
        <w:rFonts w:ascii="Courier New" w:hAnsi="Courier New" w:cs="Courier New" w:hint="default"/>
      </w:rPr>
    </w:lvl>
    <w:lvl w:ilvl="2" w:tplc="0C090005" w:tentative="1">
      <w:start w:val="1"/>
      <w:numFmt w:val="bullet"/>
      <w:lvlText w:val=""/>
      <w:lvlJc w:val="left"/>
      <w:pPr>
        <w:ind w:left="2888" w:hanging="360"/>
      </w:pPr>
      <w:rPr>
        <w:rFonts w:ascii="Wingdings" w:hAnsi="Wingdings" w:hint="default"/>
      </w:rPr>
    </w:lvl>
    <w:lvl w:ilvl="3" w:tplc="0C090001" w:tentative="1">
      <w:start w:val="1"/>
      <w:numFmt w:val="bullet"/>
      <w:lvlText w:val=""/>
      <w:lvlJc w:val="left"/>
      <w:pPr>
        <w:ind w:left="3608" w:hanging="360"/>
      </w:pPr>
      <w:rPr>
        <w:rFonts w:ascii="Symbol" w:hAnsi="Symbol" w:hint="default"/>
      </w:rPr>
    </w:lvl>
    <w:lvl w:ilvl="4" w:tplc="0C090003" w:tentative="1">
      <w:start w:val="1"/>
      <w:numFmt w:val="bullet"/>
      <w:lvlText w:val="o"/>
      <w:lvlJc w:val="left"/>
      <w:pPr>
        <w:ind w:left="4328" w:hanging="360"/>
      </w:pPr>
      <w:rPr>
        <w:rFonts w:ascii="Courier New" w:hAnsi="Courier New" w:cs="Courier New" w:hint="default"/>
      </w:rPr>
    </w:lvl>
    <w:lvl w:ilvl="5" w:tplc="0C090005" w:tentative="1">
      <w:start w:val="1"/>
      <w:numFmt w:val="bullet"/>
      <w:lvlText w:val=""/>
      <w:lvlJc w:val="left"/>
      <w:pPr>
        <w:ind w:left="5048" w:hanging="360"/>
      </w:pPr>
      <w:rPr>
        <w:rFonts w:ascii="Wingdings" w:hAnsi="Wingdings" w:hint="default"/>
      </w:rPr>
    </w:lvl>
    <w:lvl w:ilvl="6" w:tplc="0C090001" w:tentative="1">
      <w:start w:val="1"/>
      <w:numFmt w:val="bullet"/>
      <w:lvlText w:val=""/>
      <w:lvlJc w:val="left"/>
      <w:pPr>
        <w:ind w:left="5768" w:hanging="360"/>
      </w:pPr>
      <w:rPr>
        <w:rFonts w:ascii="Symbol" w:hAnsi="Symbol" w:hint="default"/>
      </w:rPr>
    </w:lvl>
    <w:lvl w:ilvl="7" w:tplc="0C090003" w:tentative="1">
      <w:start w:val="1"/>
      <w:numFmt w:val="bullet"/>
      <w:lvlText w:val="o"/>
      <w:lvlJc w:val="left"/>
      <w:pPr>
        <w:ind w:left="6488" w:hanging="360"/>
      </w:pPr>
      <w:rPr>
        <w:rFonts w:ascii="Courier New" w:hAnsi="Courier New" w:cs="Courier New" w:hint="default"/>
      </w:rPr>
    </w:lvl>
    <w:lvl w:ilvl="8" w:tplc="0C090005" w:tentative="1">
      <w:start w:val="1"/>
      <w:numFmt w:val="bullet"/>
      <w:lvlText w:val=""/>
      <w:lvlJc w:val="left"/>
      <w:pPr>
        <w:ind w:left="7208" w:hanging="360"/>
      </w:pPr>
      <w:rPr>
        <w:rFonts w:ascii="Wingdings" w:hAnsi="Wingdings" w:hint="default"/>
      </w:rPr>
    </w:lvl>
  </w:abstractNum>
  <w:abstractNum w:abstractNumId="24">
    <w:nsid w:val="70831E19"/>
    <w:multiLevelType w:val="hybridMultilevel"/>
    <w:tmpl w:val="9A7402D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2"/>
  </w:num>
  <w:num w:numId="13">
    <w:abstractNumId w:val="16"/>
  </w:num>
  <w:num w:numId="14">
    <w:abstractNumId w:val="13"/>
  </w:num>
  <w:num w:numId="15">
    <w:abstractNumId w:val="12"/>
  </w:num>
  <w:num w:numId="16">
    <w:abstractNumId w:val="10"/>
  </w:num>
  <w:num w:numId="17">
    <w:abstractNumId w:val="20"/>
  </w:num>
  <w:num w:numId="18">
    <w:abstractNumId w:val="14"/>
  </w:num>
  <w:num w:numId="19">
    <w:abstractNumId w:val="23"/>
  </w:num>
  <w:num w:numId="20">
    <w:abstractNumId w:val="15"/>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2"/>
  </w:num>
  <w:num w:numId="24">
    <w:abstractNumId w:val="12"/>
  </w:num>
  <w:num w:numId="25">
    <w:abstractNumId w:val="19"/>
  </w:num>
  <w:num w:numId="26">
    <w:abstractNumId w:val="19"/>
  </w:num>
  <w:num w:numId="27">
    <w:abstractNumId w:val="19"/>
  </w:num>
  <w:num w:numId="28">
    <w:abstractNumId w:val="12"/>
  </w:num>
  <w:num w:numId="29">
    <w:abstractNumId w:val="12"/>
  </w:num>
  <w:num w:numId="30">
    <w:abstractNumId w:val="19"/>
  </w:num>
  <w:num w:numId="31">
    <w:abstractNumId w:val="19"/>
  </w:num>
  <w:num w:numId="32">
    <w:abstractNumId w:val="12"/>
  </w:num>
  <w:num w:numId="33">
    <w:abstractNumId w:val="12"/>
  </w:num>
  <w:num w:numId="34">
    <w:abstractNumId w:val="17"/>
  </w:num>
  <w:num w:numId="35">
    <w:abstractNumId w:val="12"/>
    <w:lvlOverride w:ilvl="0">
      <w:startOverride w:val="1"/>
    </w:lvlOverride>
  </w:num>
  <w:num w:numId="36">
    <w:abstractNumId w:val="18"/>
  </w:num>
  <w:num w:numId="37">
    <w:abstractNumId w:val="11"/>
  </w:num>
  <w:num w:numId="38">
    <w:abstractNumId w:val="24"/>
  </w:num>
  <w:num w:numId="39">
    <w:abstractNumId w:val="21"/>
  </w:num>
  <w:num w:numId="40">
    <w:abstractNumId w:val="12"/>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Full" w:cryptAlgorithmClass="hash" w:cryptAlgorithmType="typeAny" w:cryptAlgorithmSid="4" w:cryptSpinCount="100000" w:hash="znXBiVIkwtsKjyFoSkTp53lIqHc=" w:salt="IZWK8JGpRWjkngh9y9qelg=="/>
  <w:defaultTabStop w:val="720"/>
  <w:drawingGridHorizontalSpacing w:val="120"/>
  <w:displayHorizont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A40"/>
    <w:rsid w:val="000030ED"/>
    <w:rsid w:val="0000322E"/>
    <w:rsid w:val="0000749A"/>
    <w:rsid w:val="000079A3"/>
    <w:rsid w:val="00011A3B"/>
    <w:rsid w:val="00011C65"/>
    <w:rsid w:val="000137F3"/>
    <w:rsid w:val="00013DC7"/>
    <w:rsid w:val="00013F28"/>
    <w:rsid w:val="000140F6"/>
    <w:rsid w:val="000160AF"/>
    <w:rsid w:val="0001656C"/>
    <w:rsid w:val="000165C2"/>
    <w:rsid w:val="00016876"/>
    <w:rsid w:val="000207FD"/>
    <w:rsid w:val="00022BBA"/>
    <w:rsid w:val="00022C90"/>
    <w:rsid w:val="00022F24"/>
    <w:rsid w:val="0002557C"/>
    <w:rsid w:val="000265C5"/>
    <w:rsid w:val="00026D4C"/>
    <w:rsid w:val="00027B64"/>
    <w:rsid w:val="00030B51"/>
    <w:rsid w:val="000329FB"/>
    <w:rsid w:val="000339A0"/>
    <w:rsid w:val="00033D82"/>
    <w:rsid w:val="0003606D"/>
    <w:rsid w:val="00037863"/>
    <w:rsid w:val="000427E8"/>
    <w:rsid w:val="00044588"/>
    <w:rsid w:val="00044855"/>
    <w:rsid w:val="000449A8"/>
    <w:rsid w:val="00044BBE"/>
    <w:rsid w:val="000459FA"/>
    <w:rsid w:val="00051200"/>
    <w:rsid w:val="00052C8D"/>
    <w:rsid w:val="00053C7E"/>
    <w:rsid w:val="00054D5E"/>
    <w:rsid w:val="0005579F"/>
    <w:rsid w:val="0005658B"/>
    <w:rsid w:val="0005712F"/>
    <w:rsid w:val="000572FA"/>
    <w:rsid w:val="000579B1"/>
    <w:rsid w:val="000603BB"/>
    <w:rsid w:val="0006046C"/>
    <w:rsid w:val="0006250D"/>
    <w:rsid w:val="00062864"/>
    <w:rsid w:val="00064DAC"/>
    <w:rsid w:val="00065C50"/>
    <w:rsid w:val="00065DE5"/>
    <w:rsid w:val="00066499"/>
    <w:rsid w:val="00066B0D"/>
    <w:rsid w:val="00070DA2"/>
    <w:rsid w:val="00072D2F"/>
    <w:rsid w:val="00074319"/>
    <w:rsid w:val="00074679"/>
    <w:rsid w:val="000765B9"/>
    <w:rsid w:val="0007682B"/>
    <w:rsid w:val="00077B3F"/>
    <w:rsid w:val="00077EFF"/>
    <w:rsid w:val="000801AA"/>
    <w:rsid w:val="0008093B"/>
    <w:rsid w:val="0008141F"/>
    <w:rsid w:val="0008163F"/>
    <w:rsid w:val="00081E97"/>
    <w:rsid w:val="0008201F"/>
    <w:rsid w:val="00082317"/>
    <w:rsid w:val="0008446D"/>
    <w:rsid w:val="000846B3"/>
    <w:rsid w:val="000852BA"/>
    <w:rsid w:val="00085498"/>
    <w:rsid w:val="0008569C"/>
    <w:rsid w:val="00086A4B"/>
    <w:rsid w:val="00086D30"/>
    <w:rsid w:val="00086E9C"/>
    <w:rsid w:val="000879BC"/>
    <w:rsid w:val="000879F9"/>
    <w:rsid w:val="00087C89"/>
    <w:rsid w:val="00091C7E"/>
    <w:rsid w:val="0009230B"/>
    <w:rsid w:val="00094904"/>
    <w:rsid w:val="0009570D"/>
    <w:rsid w:val="000A08F5"/>
    <w:rsid w:val="000A0EDF"/>
    <w:rsid w:val="000A1DB8"/>
    <w:rsid w:val="000A3579"/>
    <w:rsid w:val="000A3F6B"/>
    <w:rsid w:val="000A48AC"/>
    <w:rsid w:val="000A6446"/>
    <w:rsid w:val="000A6F8E"/>
    <w:rsid w:val="000B060B"/>
    <w:rsid w:val="000B0A5D"/>
    <w:rsid w:val="000B0A98"/>
    <w:rsid w:val="000B3673"/>
    <w:rsid w:val="000B44B1"/>
    <w:rsid w:val="000B746F"/>
    <w:rsid w:val="000B7E32"/>
    <w:rsid w:val="000C1165"/>
    <w:rsid w:val="000D0A9B"/>
    <w:rsid w:val="000D1767"/>
    <w:rsid w:val="000D217C"/>
    <w:rsid w:val="000D232A"/>
    <w:rsid w:val="000D2D9C"/>
    <w:rsid w:val="000D2DCE"/>
    <w:rsid w:val="000D4BF3"/>
    <w:rsid w:val="000D4FC8"/>
    <w:rsid w:val="000D5028"/>
    <w:rsid w:val="000D7C4E"/>
    <w:rsid w:val="000E130A"/>
    <w:rsid w:val="000E1A3D"/>
    <w:rsid w:val="000E1D8C"/>
    <w:rsid w:val="000E2199"/>
    <w:rsid w:val="000E33FB"/>
    <w:rsid w:val="000E4730"/>
    <w:rsid w:val="000E650A"/>
    <w:rsid w:val="000E6FBE"/>
    <w:rsid w:val="000F0A5C"/>
    <w:rsid w:val="000F0F78"/>
    <w:rsid w:val="000F29B8"/>
    <w:rsid w:val="000F3A4C"/>
    <w:rsid w:val="000F4121"/>
    <w:rsid w:val="000F4844"/>
    <w:rsid w:val="000F4B1C"/>
    <w:rsid w:val="000F5C8B"/>
    <w:rsid w:val="000F67DF"/>
    <w:rsid w:val="000F6FD5"/>
    <w:rsid w:val="000F73AF"/>
    <w:rsid w:val="000F761D"/>
    <w:rsid w:val="0010060C"/>
    <w:rsid w:val="0010094A"/>
    <w:rsid w:val="00102B3A"/>
    <w:rsid w:val="001051A2"/>
    <w:rsid w:val="00105804"/>
    <w:rsid w:val="00107DEC"/>
    <w:rsid w:val="001121F5"/>
    <w:rsid w:val="001144FD"/>
    <w:rsid w:val="00114FE0"/>
    <w:rsid w:val="001156E3"/>
    <w:rsid w:val="0011626D"/>
    <w:rsid w:val="00116B62"/>
    <w:rsid w:val="00117C13"/>
    <w:rsid w:val="00117C16"/>
    <w:rsid w:val="00121DB2"/>
    <w:rsid w:val="00122A2F"/>
    <w:rsid w:val="00123897"/>
    <w:rsid w:val="00123B34"/>
    <w:rsid w:val="00124332"/>
    <w:rsid w:val="00124502"/>
    <w:rsid w:val="00124768"/>
    <w:rsid w:val="0012581B"/>
    <w:rsid w:val="00125A24"/>
    <w:rsid w:val="001265AB"/>
    <w:rsid w:val="00130DDE"/>
    <w:rsid w:val="0013252A"/>
    <w:rsid w:val="00132E4C"/>
    <w:rsid w:val="00134168"/>
    <w:rsid w:val="00134774"/>
    <w:rsid w:val="00134E13"/>
    <w:rsid w:val="001357B1"/>
    <w:rsid w:val="0013686C"/>
    <w:rsid w:val="00136FC2"/>
    <w:rsid w:val="00137AFE"/>
    <w:rsid w:val="00140274"/>
    <w:rsid w:val="00142B71"/>
    <w:rsid w:val="00144A8F"/>
    <w:rsid w:val="00145245"/>
    <w:rsid w:val="00145420"/>
    <w:rsid w:val="001467F8"/>
    <w:rsid w:val="001500CB"/>
    <w:rsid w:val="0015089F"/>
    <w:rsid w:val="00151263"/>
    <w:rsid w:val="00152AC6"/>
    <w:rsid w:val="00154AE4"/>
    <w:rsid w:val="00155349"/>
    <w:rsid w:val="0015555C"/>
    <w:rsid w:val="0015568E"/>
    <w:rsid w:val="00155755"/>
    <w:rsid w:val="00157FBC"/>
    <w:rsid w:val="001600DF"/>
    <w:rsid w:val="001600F0"/>
    <w:rsid w:val="00160D5F"/>
    <w:rsid w:val="00162A8D"/>
    <w:rsid w:val="00165693"/>
    <w:rsid w:val="00165B04"/>
    <w:rsid w:val="00165E3C"/>
    <w:rsid w:val="00171119"/>
    <w:rsid w:val="001711A2"/>
    <w:rsid w:val="00171562"/>
    <w:rsid w:val="001716C9"/>
    <w:rsid w:val="001716D7"/>
    <w:rsid w:val="00171FE7"/>
    <w:rsid w:val="001725EB"/>
    <w:rsid w:val="00173FB5"/>
    <w:rsid w:val="0017511E"/>
    <w:rsid w:val="00175392"/>
    <w:rsid w:val="00175E42"/>
    <w:rsid w:val="00182D06"/>
    <w:rsid w:val="001834F0"/>
    <w:rsid w:val="00183E38"/>
    <w:rsid w:val="001843E2"/>
    <w:rsid w:val="0018511C"/>
    <w:rsid w:val="00191088"/>
    <w:rsid w:val="00192338"/>
    <w:rsid w:val="00193088"/>
    <w:rsid w:val="00193100"/>
    <w:rsid w:val="0019338C"/>
    <w:rsid w:val="001942A0"/>
    <w:rsid w:val="00194DA4"/>
    <w:rsid w:val="00195504"/>
    <w:rsid w:val="00196CCB"/>
    <w:rsid w:val="001976CA"/>
    <w:rsid w:val="00197EE8"/>
    <w:rsid w:val="001A05BC"/>
    <w:rsid w:val="001A0777"/>
    <w:rsid w:val="001A0C01"/>
    <w:rsid w:val="001A44FE"/>
    <w:rsid w:val="001A4EE0"/>
    <w:rsid w:val="001A54D2"/>
    <w:rsid w:val="001A5677"/>
    <w:rsid w:val="001A7BB2"/>
    <w:rsid w:val="001A7C3F"/>
    <w:rsid w:val="001A7D2D"/>
    <w:rsid w:val="001B0353"/>
    <w:rsid w:val="001B14FF"/>
    <w:rsid w:val="001B4414"/>
    <w:rsid w:val="001B4A16"/>
    <w:rsid w:val="001B5066"/>
    <w:rsid w:val="001B614C"/>
    <w:rsid w:val="001B7451"/>
    <w:rsid w:val="001C0397"/>
    <w:rsid w:val="001C1F8B"/>
    <w:rsid w:val="001C3F1E"/>
    <w:rsid w:val="001C40EF"/>
    <w:rsid w:val="001C5CAA"/>
    <w:rsid w:val="001C6C05"/>
    <w:rsid w:val="001D0C20"/>
    <w:rsid w:val="001D2F8E"/>
    <w:rsid w:val="001D34DD"/>
    <w:rsid w:val="001D3D06"/>
    <w:rsid w:val="001D48EC"/>
    <w:rsid w:val="001E02E5"/>
    <w:rsid w:val="001E0F7C"/>
    <w:rsid w:val="001E133B"/>
    <w:rsid w:val="001E2CE0"/>
    <w:rsid w:val="001E3ED4"/>
    <w:rsid w:val="001E523F"/>
    <w:rsid w:val="001E78F5"/>
    <w:rsid w:val="001F2BBB"/>
    <w:rsid w:val="001F3F85"/>
    <w:rsid w:val="001F41BD"/>
    <w:rsid w:val="001F6736"/>
    <w:rsid w:val="001F7020"/>
    <w:rsid w:val="001F7570"/>
    <w:rsid w:val="00200677"/>
    <w:rsid w:val="00201C58"/>
    <w:rsid w:val="00202E0F"/>
    <w:rsid w:val="0020417F"/>
    <w:rsid w:val="00210CD1"/>
    <w:rsid w:val="002119D7"/>
    <w:rsid w:val="00211C72"/>
    <w:rsid w:val="002138E3"/>
    <w:rsid w:val="00214CB3"/>
    <w:rsid w:val="00214CD0"/>
    <w:rsid w:val="00215690"/>
    <w:rsid w:val="002166E4"/>
    <w:rsid w:val="00220A63"/>
    <w:rsid w:val="00221801"/>
    <w:rsid w:val="00222DD6"/>
    <w:rsid w:val="002230E1"/>
    <w:rsid w:val="00224787"/>
    <w:rsid w:val="0022487D"/>
    <w:rsid w:val="00224AA3"/>
    <w:rsid w:val="00224E41"/>
    <w:rsid w:val="00225BE8"/>
    <w:rsid w:val="00226C83"/>
    <w:rsid w:val="002304D2"/>
    <w:rsid w:val="00231ED1"/>
    <w:rsid w:val="002349BF"/>
    <w:rsid w:val="00235806"/>
    <w:rsid w:val="00236878"/>
    <w:rsid w:val="00236B0E"/>
    <w:rsid w:val="00237BCC"/>
    <w:rsid w:val="00240D51"/>
    <w:rsid w:val="00241CB0"/>
    <w:rsid w:val="00241F11"/>
    <w:rsid w:val="002423E1"/>
    <w:rsid w:val="00242624"/>
    <w:rsid w:val="0024385E"/>
    <w:rsid w:val="00243AC2"/>
    <w:rsid w:val="00243CCB"/>
    <w:rsid w:val="0024465B"/>
    <w:rsid w:val="00244CBA"/>
    <w:rsid w:val="0024557E"/>
    <w:rsid w:val="00246E1F"/>
    <w:rsid w:val="00247886"/>
    <w:rsid w:val="00247A20"/>
    <w:rsid w:val="00247AD8"/>
    <w:rsid w:val="00251187"/>
    <w:rsid w:val="0025118B"/>
    <w:rsid w:val="002529A6"/>
    <w:rsid w:val="00253008"/>
    <w:rsid w:val="0025422B"/>
    <w:rsid w:val="0025459B"/>
    <w:rsid w:val="00254834"/>
    <w:rsid w:val="00254ABB"/>
    <w:rsid w:val="0025768B"/>
    <w:rsid w:val="00260595"/>
    <w:rsid w:val="00261757"/>
    <w:rsid w:val="00261802"/>
    <w:rsid w:val="00262400"/>
    <w:rsid w:val="00262C20"/>
    <w:rsid w:val="00263063"/>
    <w:rsid w:val="0026454A"/>
    <w:rsid w:val="002722DC"/>
    <w:rsid w:val="00273CD1"/>
    <w:rsid w:val="00274173"/>
    <w:rsid w:val="002747C7"/>
    <w:rsid w:val="00281E27"/>
    <w:rsid w:val="00282551"/>
    <w:rsid w:val="00283ED0"/>
    <w:rsid w:val="0028423B"/>
    <w:rsid w:val="00286200"/>
    <w:rsid w:val="002863D7"/>
    <w:rsid w:val="0028662C"/>
    <w:rsid w:val="002904BE"/>
    <w:rsid w:val="002939E6"/>
    <w:rsid w:val="00295452"/>
    <w:rsid w:val="002965CB"/>
    <w:rsid w:val="00296E0A"/>
    <w:rsid w:val="002A04A5"/>
    <w:rsid w:val="002A19A7"/>
    <w:rsid w:val="002A1BE0"/>
    <w:rsid w:val="002A22EC"/>
    <w:rsid w:val="002A582D"/>
    <w:rsid w:val="002A6D3B"/>
    <w:rsid w:val="002A7F19"/>
    <w:rsid w:val="002B015E"/>
    <w:rsid w:val="002B1B65"/>
    <w:rsid w:val="002B1E70"/>
    <w:rsid w:val="002B1F65"/>
    <w:rsid w:val="002B22FF"/>
    <w:rsid w:val="002B53C9"/>
    <w:rsid w:val="002B6014"/>
    <w:rsid w:val="002B6BE8"/>
    <w:rsid w:val="002B79D4"/>
    <w:rsid w:val="002C1866"/>
    <w:rsid w:val="002C299B"/>
    <w:rsid w:val="002C368F"/>
    <w:rsid w:val="002C46ED"/>
    <w:rsid w:val="002C4896"/>
    <w:rsid w:val="002C51ED"/>
    <w:rsid w:val="002C5BD2"/>
    <w:rsid w:val="002C6046"/>
    <w:rsid w:val="002D1814"/>
    <w:rsid w:val="002D2265"/>
    <w:rsid w:val="002D3D6C"/>
    <w:rsid w:val="002D4248"/>
    <w:rsid w:val="002D455B"/>
    <w:rsid w:val="002E12C7"/>
    <w:rsid w:val="002E239B"/>
    <w:rsid w:val="002E2EF7"/>
    <w:rsid w:val="002E4252"/>
    <w:rsid w:val="002E5A5C"/>
    <w:rsid w:val="002E71D7"/>
    <w:rsid w:val="002F0055"/>
    <w:rsid w:val="002F08B0"/>
    <w:rsid w:val="002F0CCF"/>
    <w:rsid w:val="002F145B"/>
    <w:rsid w:val="002F14AE"/>
    <w:rsid w:val="002F1B64"/>
    <w:rsid w:val="002F1E7B"/>
    <w:rsid w:val="002F2F6D"/>
    <w:rsid w:val="002F3394"/>
    <w:rsid w:val="002F4CE1"/>
    <w:rsid w:val="002F50BD"/>
    <w:rsid w:val="002F55D8"/>
    <w:rsid w:val="002F5900"/>
    <w:rsid w:val="002F660F"/>
    <w:rsid w:val="002F7633"/>
    <w:rsid w:val="00300F22"/>
    <w:rsid w:val="00301B8A"/>
    <w:rsid w:val="00302094"/>
    <w:rsid w:val="00302390"/>
    <w:rsid w:val="0030391C"/>
    <w:rsid w:val="003048C0"/>
    <w:rsid w:val="00304A37"/>
    <w:rsid w:val="003057CF"/>
    <w:rsid w:val="0030701B"/>
    <w:rsid w:val="0030764D"/>
    <w:rsid w:val="00307927"/>
    <w:rsid w:val="003100B9"/>
    <w:rsid w:val="00310381"/>
    <w:rsid w:val="00310ED4"/>
    <w:rsid w:val="003115EC"/>
    <w:rsid w:val="00311852"/>
    <w:rsid w:val="00312301"/>
    <w:rsid w:val="00312EFF"/>
    <w:rsid w:val="003142BF"/>
    <w:rsid w:val="003147A0"/>
    <w:rsid w:val="0031492A"/>
    <w:rsid w:val="003150AF"/>
    <w:rsid w:val="0031550F"/>
    <w:rsid w:val="003162D0"/>
    <w:rsid w:val="00316C1A"/>
    <w:rsid w:val="00316D05"/>
    <w:rsid w:val="0031731B"/>
    <w:rsid w:val="00317E3C"/>
    <w:rsid w:val="0032024B"/>
    <w:rsid w:val="00320C14"/>
    <w:rsid w:val="003216CB"/>
    <w:rsid w:val="00323C73"/>
    <w:rsid w:val="00323EE9"/>
    <w:rsid w:val="003244C4"/>
    <w:rsid w:val="00324DA1"/>
    <w:rsid w:val="003279DE"/>
    <w:rsid w:val="00331141"/>
    <w:rsid w:val="00331F4A"/>
    <w:rsid w:val="00333025"/>
    <w:rsid w:val="003358C2"/>
    <w:rsid w:val="00335A44"/>
    <w:rsid w:val="0033776C"/>
    <w:rsid w:val="003378F8"/>
    <w:rsid w:val="003419DC"/>
    <w:rsid w:val="00341D61"/>
    <w:rsid w:val="0034417C"/>
    <w:rsid w:val="00344758"/>
    <w:rsid w:val="00345E96"/>
    <w:rsid w:val="00346524"/>
    <w:rsid w:val="00347142"/>
    <w:rsid w:val="003511BE"/>
    <w:rsid w:val="00351648"/>
    <w:rsid w:val="0035398E"/>
    <w:rsid w:val="0035537B"/>
    <w:rsid w:val="0035541A"/>
    <w:rsid w:val="00355C7E"/>
    <w:rsid w:val="003565A8"/>
    <w:rsid w:val="003566EA"/>
    <w:rsid w:val="00356E07"/>
    <w:rsid w:val="00361627"/>
    <w:rsid w:val="003619CF"/>
    <w:rsid w:val="00362986"/>
    <w:rsid w:val="00362B69"/>
    <w:rsid w:val="00363BA6"/>
    <w:rsid w:val="00364F31"/>
    <w:rsid w:val="0037184C"/>
    <w:rsid w:val="00371A90"/>
    <w:rsid w:val="003724F3"/>
    <w:rsid w:val="00372C79"/>
    <w:rsid w:val="003735F8"/>
    <w:rsid w:val="00373E54"/>
    <w:rsid w:val="00374F24"/>
    <w:rsid w:val="003766E5"/>
    <w:rsid w:val="0037760E"/>
    <w:rsid w:val="0037783E"/>
    <w:rsid w:val="003779A3"/>
    <w:rsid w:val="003800AF"/>
    <w:rsid w:val="00380B28"/>
    <w:rsid w:val="003811D1"/>
    <w:rsid w:val="00381809"/>
    <w:rsid w:val="00382A93"/>
    <w:rsid w:val="0038460D"/>
    <w:rsid w:val="003859E1"/>
    <w:rsid w:val="00386063"/>
    <w:rsid w:val="00387732"/>
    <w:rsid w:val="00391688"/>
    <w:rsid w:val="00395649"/>
    <w:rsid w:val="003A0AB4"/>
    <w:rsid w:val="003A0D28"/>
    <w:rsid w:val="003A120B"/>
    <w:rsid w:val="003A1515"/>
    <w:rsid w:val="003A17A5"/>
    <w:rsid w:val="003A2A55"/>
    <w:rsid w:val="003A2BCE"/>
    <w:rsid w:val="003A41F1"/>
    <w:rsid w:val="003A5873"/>
    <w:rsid w:val="003A597C"/>
    <w:rsid w:val="003A6C86"/>
    <w:rsid w:val="003B0C43"/>
    <w:rsid w:val="003B15A2"/>
    <w:rsid w:val="003B19D4"/>
    <w:rsid w:val="003B273B"/>
    <w:rsid w:val="003B3622"/>
    <w:rsid w:val="003B438A"/>
    <w:rsid w:val="003B5D9F"/>
    <w:rsid w:val="003B658C"/>
    <w:rsid w:val="003B676D"/>
    <w:rsid w:val="003B70B0"/>
    <w:rsid w:val="003C0690"/>
    <w:rsid w:val="003C0AA5"/>
    <w:rsid w:val="003C16C5"/>
    <w:rsid w:val="003C16C8"/>
    <w:rsid w:val="003C1A85"/>
    <w:rsid w:val="003C2879"/>
    <w:rsid w:val="003C30A5"/>
    <w:rsid w:val="003C347D"/>
    <w:rsid w:val="003C3800"/>
    <w:rsid w:val="003C3980"/>
    <w:rsid w:val="003C39FD"/>
    <w:rsid w:val="003C552E"/>
    <w:rsid w:val="003C589A"/>
    <w:rsid w:val="003D251C"/>
    <w:rsid w:val="003D2922"/>
    <w:rsid w:val="003D33A6"/>
    <w:rsid w:val="003D6ED2"/>
    <w:rsid w:val="003E0298"/>
    <w:rsid w:val="003E232F"/>
    <w:rsid w:val="003E421B"/>
    <w:rsid w:val="003E432F"/>
    <w:rsid w:val="003E5B94"/>
    <w:rsid w:val="003E5FBC"/>
    <w:rsid w:val="003E6733"/>
    <w:rsid w:val="003E7AC4"/>
    <w:rsid w:val="003F0EE8"/>
    <w:rsid w:val="003F0F28"/>
    <w:rsid w:val="003F1874"/>
    <w:rsid w:val="003F1F57"/>
    <w:rsid w:val="003F234D"/>
    <w:rsid w:val="003F2646"/>
    <w:rsid w:val="003F2B0B"/>
    <w:rsid w:val="003F32A5"/>
    <w:rsid w:val="003F3D62"/>
    <w:rsid w:val="003F44B2"/>
    <w:rsid w:val="003F4902"/>
    <w:rsid w:val="003F4EB5"/>
    <w:rsid w:val="003F6E4F"/>
    <w:rsid w:val="003F71D4"/>
    <w:rsid w:val="004000B7"/>
    <w:rsid w:val="004022C7"/>
    <w:rsid w:val="00402D2A"/>
    <w:rsid w:val="00402FC6"/>
    <w:rsid w:val="004033DC"/>
    <w:rsid w:val="00404260"/>
    <w:rsid w:val="00404884"/>
    <w:rsid w:val="00404BDB"/>
    <w:rsid w:val="00404EF8"/>
    <w:rsid w:val="004058FA"/>
    <w:rsid w:val="00405C38"/>
    <w:rsid w:val="0040617E"/>
    <w:rsid w:val="00407168"/>
    <w:rsid w:val="00407BC8"/>
    <w:rsid w:val="00407C47"/>
    <w:rsid w:val="004121FF"/>
    <w:rsid w:val="00412C2F"/>
    <w:rsid w:val="0041335B"/>
    <w:rsid w:val="00415C35"/>
    <w:rsid w:val="00415F1A"/>
    <w:rsid w:val="0041740B"/>
    <w:rsid w:val="0041769B"/>
    <w:rsid w:val="00417924"/>
    <w:rsid w:val="00420292"/>
    <w:rsid w:val="00420919"/>
    <w:rsid w:val="00422417"/>
    <w:rsid w:val="00424233"/>
    <w:rsid w:val="00424A72"/>
    <w:rsid w:val="0042755D"/>
    <w:rsid w:val="0043042B"/>
    <w:rsid w:val="00430469"/>
    <w:rsid w:val="00430B75"/>
    <w:rsid w:val="00430CD2"/>
    <w:rsid w:val="004321F1"/>
    <w:rsid w:val="0043230C"/>
    <w:rsid w:val="00432B78"/>
    <w:rsid w:val="00433D07"/>
    <w:rsid w:val="00433E63"/>
    <w:rsid w:val="00435042"/>
    <w:rsid w:val="0043566A"/>
    <w:rsid w:val="00436838"/>
    <w:rsid w:val="004368E9"/>
    <w:rsid w:val="00437304"/>
    <w:rsid w:val="00437AE7"/>
    <w:rsid w:val="00437C6B"/>
    <w:rsid w:val="004402B7"/>
    <w:rsid w:val="00442543"/>
    <w:rsid w:val="00443281"/>
    <w:rsid w:val="00443C26"/>
    <w:rsid w:val="0044434A"/>
    <w:rsid w:val="00446AB3"/>
    <w:rsid w:val="00446F6F"/>
    <w:rsid w:val="004515C2"/>
    <w:rsid w:val="00456C06"/>
    <w:rsid w:val="0046029D"/>
    <w:rsid w:val="00462168"/>
    <w:rsid w:val="00464CD9"/>
    <w:rsid w:val="00465BB2"/>
    <w:rsid w:val="00465BF9"/>
    <w:rsid w:val="00466ADE"/>
    <w:rsid w:val="00467E5D"/>
    <w:rsid w:val="00467E66"/>
    <w:rsid w:val="00472157"/>
    <w:rsid w:val="004724D4"/>
    <w:rsid w:val="00472EFF"/>
    <w:rsid w:val="00473A9C"/>
    <w:rsid w:val="00473CCC"/>
    <w:rsid w:val="00474063"/>
    <w:rsid w:val="00475759"/>
    <w:rsid w:val="00476447"/>
    <w:rsid w:val="00476793"/>
    <w:rsid w:val="0047795F"/>
    <w:rsid w:val="00477A07"/>
    <w:rsid w:val="00481C30"/>
    <w:rsid w:val="00481E84"/>
    <w:rsid w:val="00484CAB"/>
    <w:rsid w:val="00486F70"/>
    <w:rsid w:val="00487ACE"/>
    <w:rsid w:val="00487D51"/>
    <w:rsid w:val="004954A8"/>
    <w:rsid w:val="004962B5"/>
    <w:rsid w:val="00497A78"/>
    <w:rsid w:val="004A0BA3"/>
    <w:rsid w:val="004A1413"/>
    <w:rsid w:val="004A187B"/>
    <w:rsid w:val="004A19D7"/>
    <w:rsid w:val="004A2D3C"/>
    <w:rsid w:val="004A52A2"/>
    <w:rsid w:val="004A6028"/>
    <w:rsid w:val="004A780F"/>
    <w:rsid w:val="004A7D0F"/>
    <w:rsid w:val="004B131D"/>
    <w:rsid w:val="004B1787"/>
    <w:rsid w:val="004B2618"/>
    <w:rsid w:val="004B3795"/>
    <w:rsid w:val="004B4EAC"/>
    <w:rsid w:val="004B5FB4"/>
    <w:rsid w:val="004B65DD"/>
    <w:rsid w:val="004C0F5D"/>
    <w:rsid w:val="004C4101"/>
    <w:rsid w:val="004C59E0"/>
    <w:rsid w:val="004C5CE8"/>
    <w:rsid w:val="004C6BA5"/>
    <w:rsid w:val="004C6F44"/>
    <w:rsid w:val="004C73C7"/>
    <w:rsid w:val="004C7412"/>
    <w:rsid w:val="004D04BF"/>
    <w:rsid w:val="004D1388"/>
    <w:rsid w:val="004D3D3A"/>
    <w:rsid w:val="004D5634"/>
    <w:rsid w:val="004D5D3E"/>
    <w:rsid w:val="004D6E55"/>
    <w:rsid w:val="004E0DFF"/>
    <w:rsid w:val="004E163C"/>
    <w:rsid w:val="004E1A28"/>
    <w:rsid w:val="004E1F8D"/>
    <w:rsid w:val="004E25EC"/>
    <w:rsid w:val="004E3270"/>
    <w:rsid w:val="004E371D"/>
    <w:rsid w:val="004E4864"/>
    <w:rsid w:val="004E7921"/>
    <w:rsid w:val="004F1C7C"/>
    <w:rsid w:val="004F2BAF"/>
    <w:rsid w:val="004F2BBE"/>
    <w:rsid w:val="004F3551"/>
    <w:rsid w:val="004F4B36"/>
    <w:rsid w:val="004F536A"/>
    <w:rsid w:val="004F7139"/>
    <w:rsid w:val="005004A7"/>
    <w:rsid w:val="005004EE"/>
    <w:rsid w:val="00500890"/>
    <w:rsid w:val="005041BC"/>
    <w:rsid w:val="00505233"/>
    <w:rsid w:val="005078D4"/>
    <w:rsid w:val="00507B85"/>
    <w:rsid w:val="005112B7"/>
    <w:rsid w:val="005123F0"/>
    <w:rsid w:val="005132AC"/>
    <w:rsid w:val="00513540"/>
    <w:rsid w:val="00513941"/>
    <w:rsid w:val="00513DB6"/>
    <w:rsid w:val="00516859"/>
    <w:rsid w:val="0052123D"/>
    <w:rsid w:val="00522451"/>
    <w:rsid w:val="00522A64"/>
    <w:rsid w:val="00522C49"/>
    <w:rsid w:val="005230E9"/>
    <w:rsid w:val="005239D8"/>
    <w:rsid w:val="00523A8F"/>
    <w:rsid w:val="00524003"/>
    <w:rsid w:val="005253AB"/>
    <w:rsid w:val="00525EF0"/>
    <w:rsid w:val="00526213"/>
    <w:rsid w:val="00526627"/>
    <w:rsid w:val="00527352"/>
    <w:rsid w:val="00527AFE"/>
    <w:rsid w:val="0053051D"/>
    <w:rsid w:val="00531497"/>
    <w:rsid w:val="005325F4"/>
    <w:rsid w:val="0053307D"/>
    <w:rsid w:val="005336F6"/>
    <w:rsid w:val="00534037"/>
    <w:rsid w:val="00535A96"/>
    <w:rsid w:val="00536E23"/>
    <w:rsid w:val="00542352"/>
    <w:rsid w:val="00542950"/>
    <w:rsid w:val="00543336"/>
    <w:rsid w:val="00543820"/>
    <w:rsid w:val="005440A3"/>
    <w:rsid w:val="00544438"/>
    <w:rsid w:val="0054685D"/>
    <w:rsid w:val="005518F7"/>
    <w:rsid w:val="00552E45"/>
    <w:rsid w:val="00553D13"/>
    <w:rsid w:val="00553E3F"/>
    <w:rsid w:val="0055408F"/>
    <w:rsid w:val="00556809"/>
    <w:rsid w:val="00557A0D"/>
    <w:rsid w:val="00560100"/>
    <w:rsid w:val="00560963"/>
    <w:rsid w:val="00560B54"/>
    <w:rsid w:val="00560C5E"/>
    <w:rsid w:val="005610D6"/>
    <w:rsid w:val="0056397C"/>
    <w:rsid w:val="00563A14"/>
    <w:rsid w:val="00564208"/>
    <w:rsid w:val="00564627"/>
    <w:rsid w:val="0056649A"/>
    <w:rsid w:val="005664BE"/>
    <w:rsid w:val="00566A93"/>
    <w:rsid w:val="005706FE"/>
    <w:rsid w:val="00571CEB"/>
    <w:rsid w:val="00573366"/>
    <w:rsid w:val="00573757"/>
    <w:rsid w:val="0057392F"/>
    <w:rsid w:val="00575ED3"/>
    <w:rsid w:val="005763D3"/>
    <w:rsid w:val="005763E3"/>
    <w:rsid w:val="00577291"/>
    <w:rsid w:val="00577802"/>
    <w:rsid w:val="00580108"/>
    <w:rsid w:val="005801B3"/>
    <w:rsid w:val="00582CF1"/>
    <w:rsid w:val="00584328"/>
    <w:rsid w:val="00585FC0"/>
    <w:rsid w:val="00586447"/>
    <w:rsid w:val="0059011F"/>
    <w:rsid w:val="00591951"/>
    <w:rsid w:val="0059399F"/>
    <w:rsid w:val="005939FC"/>
    <w:rsid w:val="00593BC2"/>
    <w:rsid w:val="00595058"/>
    <w:rsid w:val="0059608A"/>
    <w:rsid w:val="005A00C6"/>
    <w:rsid w:val="005A17B9"/>
    <w:rsid w:val="005A18EA"/>
    <w:rsid w:val="005A1AFE"/>
    <w:rsid w:val="005A1C16"/>
    <w:rsid w:val="005A3479"/>
    <w:rsid w:val="005A4251"/>
    <w:rsid w:val="005A5827"/>
    <w:rsid w:val="005A7466"/>
    <w:rsid w:val="005A7A78"/>
    <w:rsid w:val="005B3E0F"/>
    <w:rsid w:val="005B43DB"/>
    <w:rsid w:val="005B47A3"/>
    <w:rsid w:val="005B7343"/>
    <w:rsid w:val="005C0A8D"/>
    <w:rsid w:val="005C0AF0"/>
    <w:rsid w:val="005C0C59"/>
    <w:rsid w:val="005C0F33"/>
    <w:rsid w:val="005C1846"/>
    <w:rsid w:val="005C29CE"/>
    <w:rsid w:val="005C2FEB"/>
    <w:rsid w:val="005C3189"/>
    <w:rsid w:val="005C4EF7"/>
    <w:rsid w:val="005C5993"/>
    <w:rsid w:val="005C59F4"/>
    <w:rsid w:val="005C5D41"/>
    <w:rsid w:val="005C60A2"/>
    <w:rsid w:val="005C64E4"/>
    <w:rsid w:val="005C684F"/>
    <w:rsid w:val="005C7426"/>
    <w:rsid w:val="005D0349"/>
    <w:rsid w:val="005D132B"/>
    <w:rsid w:val="005D1F34"/>
    <w:rsid w:val="005D1FDC"/>
    <w:rsid w:val="005D2C51"/>
    <w:rsid w:val="005D383D"/>
    <w:rsid w:val="005D4389"/>
    <w:rsid w:val="005D5005"/>
    <w:rsid w:val="005D5970"/>
    <w:rsid w:val="005D616E"/>
    <w:rsid w:val="005D7BFA"/>
    <w:rsid w:val="005E2CDB"/>
    <w:rsid w:val="005E3D12"/>
    <w:rsid w:val="005E5BFB"/>
    <w:rsid w:val="005E5F86"/>
    <w:rsid w:val="005E6A3F"/>
    <w:rsid w:val="005F1086"/>
    <w:rsid w:val="005F15A0"/>
    <w:rsid w:val="005F26D2"/>
    <w:rsid w:val="005F411E"/>
    <w:rsid w:val="005F4970"/>
    <w:rsid w:val="005F5E99"/>
    <w:rsid w:val="005F7DBD"/>
    <w:rsid w:val="00601B07"/>
    <w:rsid w:val="00601B2A"/>
    <w:rsid w:val="00602A36"/>
    <w:rsid w:val="006038D3"/>
    <w:rsid w:val="006059A2"/>
    <w:rsid w:val="006062F7"/>
    <w:rsid w:val="006065A7"/>
    <w:rsid w:val="00611210"/>
    <w:rsid w:val="006113DF"/>
    <w:rsid w:val="00611460"/>
    <w:rsid w:val="0061241A"/>
    <w:rsid w:val="00613461"/>
    <w:rsid w:val="00613532"/>
    <w:rsid w:val="006141DF"/>
    <w:rsid w:val="00614971"/>
    <w:rsid w:val="006151CC"/>
    <w:rsid w:val="00615EFB"/>
    <w:rsid w:val="0061624D"/>
    <w:rsid w:val="00616FDF"/>
    <w:rsid w:val="006175CF"/>
    <w:rsid w:val="00617D09"/>
    <w:rsid w:val="0062115C"/>
    <w:rsid w:val="00623569"/>
    <w:rsid w:val="006246EB"/>
    <w:rsid w:val="00625511"/>
    <w:rsid w:val="00626201"/>
    <w:rsid w:val="00626627"/>
    <w:rsid w:val="00627968"/>
    <w:rsid w:val="006308C1"/>
    <w:rsid w:val="00630E2F"/>
    <w:rsid w:val="006316C2"/>
    <w:rsid w:val="00633B6A"/>
    <w:rsid w:val="00635EAB"/>
    <w:rsid w:val="00637596"/>
    <w:rsid w:val="00637DC7"/>
    <w:rsid w:val="00642A05"/>
    <w:rsid w:val="00642A34"/>
    <w:rsid w:val="0064302B"/>
    <w:rsid w:val="006440DE"/>
    <w:rsid w:val="006513CA"/>
    <w:rsid w:val="00652688"/>
    <w:rsid w:val="006526E2"/>
    <w:rsid w:val="00654793"/>
    <w:rsid w:val="00656079"/>
    <w:rsid w:val="006564AC"/>
    <w:rsid w:val="006606CF"/>
    <w:rsid w:val="00660777"/>
    <w:rsid w:val="006612B3"/>
    <w:rsid w:val="006628B5"/>
    <w:rsid w:val="00662D6E"/>
    <w:rsid w:val="00663C09"/>
    <w:rsid w:val="00664760"/>
    <w:rsid w:val="006653CD"/>
    <w:rsid w:val="00672BE8"/>
    <w:rsid w:val="00673DA1"/>
    <w:rsid w:val="00673FEB"/>
    <w:rsid w:val="0067537D"/>
    <w:rsid w:val="006765FC"/>
    <w:rsid w:val="00676CB5"/>
    <w:rsid w:val="006777A0"/>
    <w:rsid w:val="0068042B"/>
    <w:rsid w:val="006807C5"/>
    <w:rsid w:val="00683795"/>
    <w:rsid w:val="00683C1E"/>
    <w:rsid w:val="00685C21"/>
    <w:rsid w:val="00686D4C"/>
    <w:rsid w:val="00687913"/>
    <w:rsid w:val="006901AC"/>
    <w:rsid w:val="00691EFC"/>
    <w:rsid w:val="006923EE"/>
    <w:rsid w:val="0069363E"/>
    <w:rsid w:val="00693A76"/>
    <w:rsid w:val="00694A76"/>
    <w:rsid w:val="006951FF"/>
    <w:rsid w:val="00696C90"/>
    <w:rsid w:val="00697A71"/>
    <w:rsid w:val="006A00E8"/>
    <w:rsid w:val="006A0748"/>
    <w:rsid w:val="006A0B20"/>
    <w:rsid w:val="006A0C38"/>
    <w:rsid w:val="006A24CA"/>
    <w:rsid w:val="006A4A6D"/>
    <w:rsid w:val="006A5C43"/>
    <w:rsid w:val="006A6BB3"/>
    <w:rsid w:val="006A7725"/>
    <w:rsid w:val="006B0207"/>
    <w:rsid w:val="006B06C3"/>
    <w:rsid w:val="006B0757"/>
    <w:rsid w:val="006B0E19"/>
    <w:rsid w:val="006B11A8"/>
    <w:rsid w:val="006B594D"/>
    <w:rsid w:val="006B6121"/>
    <w:rsid w:val="006B6C5B"/>
    <w:rsid w:val="006C1F20"/>
    <w:rsid w:val="006C309B"/>
    <w:rsid w:val="006C3AEA"/>
    <w:rsid w:val="006C44FB"/>
    <w:rsid w:val="006C79AE"/>
    <w:rsid w:val="006D005A"/>
    <w:rsid w:val="006D04AD"/>
    <w:rsid w:val="006D1237"/>
    <w:rsid w:val="006D1BC9"/>
    <w:rsid w:val="006D21BF"/>
    <w:rsid w:val="006D2335"/>
    <w:rsid w:val="006D244A"/>
    <w:rsid w:val="006D36A5"/>
    <w:rsid w:val="006D4520"/>
    <w:rsid w:val="006D4865"/>
    <w:rsid w:val="006D5EE5"/>
    <w:rsid w:val="006D60FB"/>
    <w:rsid w:val="006D678C"/>
    <w:rsid w:val="006D6BAD"/>
    <w:rsid w:val="006E2852"/>
    <w:rsid w:val="006F2CB5"/>
    <w:rsid w:val="006F3B7F"/>
    <w:rsid w:val="006F559A"/>
    <w:rsid w:val="006F6285"/>
    <w:rsid w:val="006F65A4"/>
    <w:rsid w:val="006F6F1C"/>
    <w:rsid w:val="006F78FA"/>
    <w:rsid w:val="00702E48"/>
    <w:rsid w:val="00707E39"/>
    <w:rsid w:val="007105A7"/>
    <w:rsid w:val="0071232F"/>
    <w:rsid w:val="007128F7"/>
    <w:rsid w:val="00713729"/>
    <w:rsid w:val="007142CB"/>
    <w:rsid w:val="00714360"/>
    <w:rsid w:val="00714634"/>
    <w:rsid w:val="0071495F"/>
    <w:rsid w:val="00714F42"/>
    <w:rsid w:val="00715543"/>
    <w:rsid w:val="00715681"/>
    <w:rsid w:val="00716BE6"/>
    <w:rsid w:val="00716D00"/>
    <w:rsid w:val="00717175"/>
    <w:rsid w:val="00717767"/>
    <w:rsid w:val="00720560"/>
    <w:rsid w:val="00720B10"/>
    <w:rsid w:val="00724D09"/>
    <w:rsid w:val="00725A27"/>
    <w:rsid w:val="007273BB"/>
    <w:rsid w:val="0072786C"/>
    <w:rsid w:val="007279D3"/>
    <w:rsid w:val="0073033B"/>
    <w:rsid w:val="007320B9"/>
    <w:rsid w:val="007330AF"/>
    <w:rsid w:val="00737147"/>
    <w:rsid w:val="007371A5"/>
    <w:rsid w:val="00737600"/>
    <w:rsid w:val="00740B55"/>
    <w:rsid w:val="007411DF"/>
    <w:rsid w:val="007412CD"/>
    <w:rsid w:val="00741A7A"/>
    <w:rsid w:val="0074294C"/>
    <w:rsid w:val="00743100"/>
    <w:rsid w:val="00743727"/>
    <w:rsid w:val="00743875"/>
    <w:rsid w:val="007443E7"/>
    <w:rsid w:val="00745631"/>
    <w:rsid w:val="00745E8B"/>
    <w:rsid w:val="007465B5"/>
    <w:rsid w:val="00746CA1"/>
    <w:rsid w:val="00746D6D"/>
    <w:rsid w:val="0074703E"/>
    <w:rsid w:val="0074724B"/>
    <w:rsid w:val="00750A29"/>
    <w:rsid w:val="00750E37"/>
    <w:rsid w:val="00750F22"/>
    <w:rsid w:val="00752472"/>
    <w:rsid w:val="007526E2"/>
    <w:rsid w:val="007540BF"/>
    <w:rsid w:val="007554BA"/>
    <w:rsid w:val="00755550"/>
    <w:rsid w:val="0075735B"/>
    <w:rsid w:val="00757761"/>
    <w:rsid w:val="0076098D"/>
    <w:rsid w:val="00760A37"/>
    <w:rsid w:val="007613D7"/>
    <w:rsid w:val="007624CE"/>
    <w:rsid w:val="007626F8"/>
    <w:rsid w:val="007644A8"/>
    <w:rsid w:val="00764B2D"/>
    <w:rsid w:val="00764D31"/>
    <w:rsid w:val="00765F16"/>
    <w:rsid w:val="00767209"/>
    <w:rsid w:val="00770DCB"/>
    <w:rsid w:val="0077123B"/>
    <w:rsid w:val="00773349"/>
    <w:rsid w:val="00775485"/>
    <w:rsid w:val="007757FC"/>
    <w:rsid w:val="0077613C"/>
    <w:rsid w:val="00777F81"/>
    <w:rsid w:val="00780562"/>
    <w:rsid w:val="00781516"/>
    <w:rsid w:val="00781677"/>
    <w:rsid w:val="007832B9"/>
    <w:rsid w:val="00784280"/>
    <w:rsid w:val="00784B93"/>
    <w:rsid w:val="00785351"/>
    <w:rsid w:val="00790A86"/>
    <w:rsid w:val="00791249"/>
    <w:rsid w:val="00793081"/>
    <w:rsid w:val="0079533B"/>
    <w:rsid w:val="007A0CF4"/>
    <w:rsid w:val="007A154C"/>
    <w:rsid w:val="007A1E3A"/>
    <w:rsid w:val="007A2414"/>
    <w:rsid w:val="007B18E1"/>
    <w:rsid w:val="007B2996"/>
    <w:rsid w:val="007B2B7D"/>
    <w:rsid w:val="007B6709"/>
    <w:rsid w:val="007C2E8D"/>
    <w:rsid w:val="007C40B0"/>
    <w:rsid w:val="007C434B"/>
    <w:rsid w:val="007C55B2"/>
    <w:rsid w:val="007C75EA"/>
    <w:rsid w:val="007D1150"/>
    <w:rsid w:val="007D1ACB"/>
    <w:rsid w:val="007D3419"/>
    <w:rsid w:val="007D4107"/>
    <w:rsid w:val="007D5861"/>
    <w:rsid w:val="007D7F42"/>
    <w:rsid w:val="007E1387"/>
    <w:rsid w:val="007E22B4"/>
    <w:rsid w:val="007E240D"/>
    <w:rsid w:val="007E3AFF"/>
    <w:rsid w:val="007E4DA1"/>
    <w:rsid w:val="007E5376"/>
    <w:rsid w:val="007E5AAF"/>
    <w:rsid w:val="007E5B88"/>
    <w:rsid w:val="007E5E1A"/>
    <w:rsid w:val="007E6589"/>
    <w:rsid w:val="007E694D"/>
    <w:rsid w:val="007E7E95"/>
    <w:rsid w:val="007F0D0B"/>
    <w:rsid w:val="007F1D75"/>
    <w:rsid w:val="007F2CE5"/>
    <w:rsid w:val="007F2E4A"/>
    <w:rsid w:val="007F39D5"/>
    <w:rsid w:val="007F5EFC"/>
    <w:rsid w:val="007F672C"/>
    <w:rsid w:val="007F7923"/>
    <w:rsid w:val="008007A8"/>
    <w:rsid w:val="00801A93"/>
    <w:rsid w:val="00803584"/>
    <w:rsid w:val="008036EF"/>
    <w:rsid w:val="008042D9"/>
    <w:rsid w:val="00804BEA"/>
    <w:rsid w:val="00805871"/>
    <w:rsid w:val="00807009"/>
    <w:rsid w:val="008071C6"/>
    <w:rsid w:val="00807338"/>
    <w:rsid w:val="00807B8B"/>
    <w:rsid w:val="008116FF"/>
    <w:rsid w:val="00812F85"/>
    <w:rsid w:val="00814C8F"/>
    <w:rsid w:val="00814FC0"/>
    <w:rsid w:val="00816151"/>
    <w:rsid w:val="0081675C"/>
    <w:rsid w:val="008214F7"/>
    <w:rsid w:val="008219C3"/>
    <w:rsid w:val="008219E3"/>
    <w:rsid w:val="00821E73"/>
    <w:rsid w:val="00822548"/>
    <w:rsid w:val="00824373"/>
    <w:rsid w:val="00825D10"/>
    <w:rsid w:val="00826762"/>
    <w:rsid w:val="0082694E"/>
    <w:rsid w:val="008276A4"/>
    <w:rsid w:val="0083048D"/>
    <w:rsid w:val="008328E9"/>
    <w:rsid w:val="00832DA4"/>
    <w:rsid w:val="008330E9"/>
    <w:rsid w:val="00834FF0"/>
    <w:rsid w:val="00844AC2"/>
    <w:rsid w:val="0084572F"/>
    <w:rsid w:val="00846226"/>
    <w:rsid w:val="00846CFD"/>
    <w:rsid w:val="0084790A"/>
    <w:rsid w:val="00847CA4"/>
    <w:rsid w:val="00847FF6"/>
    <w:rsid w:val="00850840"/>
    <w:rsid w:val="0085131D"/>
    <w:rsid w:val="00852430"/>
    <w:rsid w:val="0085358C"/>
    <w:rsid w:val="0085411E"/>
    <w:rsid w:val="00854CD0"/>
    <w:rsid w:val="0085504E"/>
    <w:rsid w:val="008559A7"/>
    <w:rsid w:val="00857A90"/>
    <w:rsid w:val="00860E46"/>
    <w:rsid w:val="00861360"/>
    <w:rsid w:val="0086145E"/>
    <w:rsid w:val="00863614"/>
    <w:rsid w:val="008657D0"/>
    <w:rsid w:val="00865947"/>
    <w:rsid w:val="00870952"/>
    <w:rsid w:val="008724DE"/>
    <w:rsid w:val="00872692"/>
    <w:rsid w:val="00874594"/>
    <w:rsid w:val="00874630"/>
    <w:rsid w:val="00874724"/>
    <w:rsid w:val="00875FE9"/>
    <w:rsid w:val="00877487"/>
    <w:rsid w:val="00877705"/>
    <w:rsid w:val="0088043E"/>
    <w:rsid w:val="00880EAA"/>
    <w:rsid w:val="00880EC2"/>
    <w:rsid w:val="00881A50"/>
    <w:rsid w:val="008824B7"/>
    <w:rsid w:val="00883252"/>
    <w:rsid w:val="0088394F"/>
    <w:rsid w:val="00885742"/>
    <w:rsid w:val="00886763"/>
    <w:rsid w:val="00887753"/>
    <w:rsid w:val="0088795E"/>
    <w:rsid w:val="0089021A"/>
    <w:rsid w:val="0089059C"/>
    <w:rsid w:val="0089094A"/>
    <w:rsid w:val="00892597"/>
    <w:rsid w:val="00892833"/>
    <w:rsid w:val="0089303C"/>
    <w:rsid w:val="008A0DF3"/>
    <w:rsid w:val="008A1624"/>
    <w:rsid w:val="008A37E6"/>
    <w:rsid w:val="008A3D57"/>
    <w:rsid w:val="008A3D72"/>
    <w:rsid w:val="008A3E71"/>
    <w:rsid w:val="008A5E4F"/>
    <w:rsid w:val="008A757F"/>
    <w:rsid w:val="008A7A1E"/>
    <w:rsid w:val="008A7DA2"/>
    <w:rsid w:val="008B0224"/>
    <w:rsid w:val="008B23BC"/>
    <w:rsid w:val="008B2D0F"/>
    <w:rsid w:val="008B2D7B"/>
    <w:rsid w:val="008C03E9"/>
    <w:rsid w:val="008C12BE"/>
    <w:rsid w:val="008C2368"/>
    <w:rsid w:val="008C2540"/>
    <w:rsid w:val="008C2577"/>
    <w:rsid w:val="008C25AD"/>
    <w:rsid w:val="008C2BF6"/>
    <w:rsid w:val="008C3D13"/>
    <w:rsid w:val="008C3DAB"/>
    <w:rsid w:val="008C3F56"/>
    <w:rsid w:val="008C7D45"/>
    <w:rsid w:val="008D0312"/>
    <w:rsid w:val="008D1660"/>
    <w:rsid w:val="008D1E3A"/>
    <w:rsid w:val="008D2BB4"/>
    <w:rsid w:val="008D3E2D"/>
    <w:rsid w:val="008D54F6"/>
    <w:rsid w:val="008D7321"/>
    <w:rsid w:val="008D75D5"/>
    <w:rsid w:val="008E0C76"/>
    <w:rsid w:val="008E3D60"/>
    <w:rsid w:val="008E3F4C"/>
    <w:rsid w:val="008E5D6F"/>
    <w:rsid w:val="008E6255"/>
    <w:rsid w:val="008E6BCE"/>
    <w:rsid w:val="008E78D4"/>
    <w:rsid w:val="008E7C59"/>
    <w:rsid w:val="008F0007"/>
    <w:rsid w:val="008F0509"/>
    <w:rsid w:val="008F1A1A"/>
    <w:rsid w:val="008F25C1"/>
    <w:rsid w:val="008F2D64"/>
    <w:rsid w:val="008F3EA9"/>
    <w:rsid w:val="008F58BE"/>
    <w:rsid w:val="008F6B7B"/>
    <w:rsid w:val="008F720B"/>
    <w:rsid w:val="008F781D"/>
    <w:rsid w:val="008F7D66"/>
    <w:rsid w:val="009000CE"/>
    <w:rsid w:val="0090030B"/>
    <w:rsid w:val="0090165F"/>
    <w:rsid w:val="00901B82"/>
    <w:rsid w:val="009022EF"/>
    <w:rsid w:val="00902351"/>
    <w:rsid w:val="00902609"/>
    <w:rsid w:val="00903BE4"/>
    <w:rsid w:val="0090660F"/>
    <w:rsid w:val="009109BA"/>
    <w:rsid w:val="00912B09"/>
    <w:rsid w:val="00914A0D"/>
    <w:rsid w:val="00914AEB"/>
    <w:rsid w:val="009168C6"/>
    <w:rsid w:val="00916AE1"/>
    <w:rsid w:val="00917033"/>
    <w:rsid w:val="009178BD"/>
    <w:rsid w:val="009223DC"/>
    <w:rsid w:val="0092574E"/>
    <w:rsid w:val="00925BDF"/>
    <w:rsid w:val="00926017"/>
    <w:rsid w:val="00931ADF"/>
    <w:rsid w:val="00934774"/>
    <w:rsid w:val="00934CF3"/>
    <w:rsid w:val="0093571A"/>
    <w:rsid w:val="00941057"/>
    <w:rsid w:val="00942C42"/>
    <w:rsid w:val="009435C1"/>
    <w:rsid w:val="00944460"/>
    <w:rsid w:val="00945B95"/>
    <w:rsid w:val="0094768D"/>
    <w:rsid w:val="009501F4"/>
    <w:rsid w:val="009537BF"/>
    <w:rsid w:val="009539C4"/>
    <w:rsid w:val="00953D4F"/>
    <w:rsid w:val="00953E6E"/>
    <w:rsid w:val="00955075"/>
    <w:rsid w:val="009552A9"/>
    <w:rsid w:val="00956BEA"/>
    <w:rsid w:val="0095792C"/>
    <w:rsid w:val="00960435"/>
    <w:rsid w:val="0096051E"/>
    <w:rsid w:val="00964485"/>
    <w:rsid w:val="00964593"/>
    <w:rsid w:val="00964715"/>
    <w:rsid w:val="00966B32"/>
    <w:rsid w:val="00966C2F"/>
    <w:rsid w:val="009674FA"/>
    <w:rsid w:val="009701FB"/>
    <w:rsid w:val="00970B7A"/>
    <w:rsid w:val="009712CC"/>
    <w:rsid w:val="00971F2C"/>
    <w:rsid w:val="009728B4"/>
    <w:rsid w:val="00972CA8"/>
    <w:rsid w:val="00973F38"/>
    <w:rsid w:val="009740AB"/>
    <w:rsid w:val="0097512B"/>
    <w:rsid w:val="0097624E"/>
    <w:rsid w:val="00977051"/>
    <w:rsid w:val="0097785D"/>
    <w:rsid w:val="00980E6A"/>
    <w:rsid w:val="00981A7A"/>
    <w:rsid w:val="00982024"/>
    <w:rsid w:val="00984483"/>
    <w:rsid w:val="009845B4"/>
    <w:rsid w:val="00985204"/>
    <w:rsid w:val="00986833"/>
    <w:rsid w:val="0098707B"/>
    <w:rsid w:val="00987BF6"/>
    <w:rsid w:val="00987D1B"/>
    <w:rsid w:val="009903FB"/>
    <w:rsid w:val="009906F1"/>
    <w:rsid w:val="00992FCE"/>
    <w:rsid w:val="00993375"/>
    <w:rsid w:val="00993425"/>
    <w:rsid w:val="00993ABB"/>
    <w:rsid w:val="00994642"/>
    <w:rsid w:val="00994DF9"/>
    <w:rsid w:val="00995308"/>
    <w:rsid w:val="00997291"/>
    <w:rsid w:val="009A1E16"/>
    <w:rsid w:val="009A1FB0"/>
    <w:rsid w:val="009A22B5"/>
    <w:rsid w:val="009A24AA"/>
    <w:rsid w:val="009A45EC"/>
    <w:rsid w:val="009A4CDE"/>
    <w:rsid w:val="009A5AFD"/>
    <w:rsid w:val="009A5C40"/>
    <w:rsid w:val="009B209C"/>
    <w:rsid w:val="009B29F4"/>
    <w:rsid w:val="009B2E2E"/>
    <w:rsid w:val="009B4054"/>
    <w:rsid w:val="009B4601"/>
    <w:rsid w:val="009B4CA5"/>
    <w:rsid w:val="009B5DE3"/>
    <w:rsid w:val="009B797B"/>
    <w:rsid w:val="009C1050"/>
    <w:rsid w:val="009C1B6D"/>
    <w:rsid w:val="009C4E77"/>
    <w:rsid w:val="009D001E"/>
    <w:rsid w:val="009D0848"/>
    <w:rsid w:val="009D0DC5"/>
    <w:rsid w:val="009D5A83"/>
    <w:rsid w:val="009D5D5C"/>
    <w:rsid w:val="009D67F6"/>
    <w:rsid w:val="009D6A78"/>
    <w:rsid w:val="009D7064"/>
    <w:rsid w:val="009E0FE1"/>
    <w:rsid w:val="009E11BD"/>
    <w:rsid w:val="009E2162"/>
    <w:rsid w:val="009E4A6E"/>
    <w:rsid w:val="009E4A85"/>
    <w:rsid w:val="009E4FE0"/>
    <w:rsid w:val="009E58AA"/>
    <w:rsid w:val="009E63AC"/>
    <w:rsid w:val="009F107C"/>
    <w:rsid w:val="009F158D"/>
    <w:rsid w:val="009F62F2"/>
    <w:rsid w:val="009F74BE"/>
    <w:rsid w:val="00A0034C"/>
    <w:rsid w:val="00A0227A"/>
    <w:rsid w:val="00A02B70"/>
    <w:rsid w:val="00A03F94"/>
    <w:rsid w:val="00A0406E"/>
    <w:rsid w:val="00A0438D"/>
    <w:rsid w:val="00A0482E"/>
    <w:rsid w:val="00A05602"/>
    <w:rsid w:val="00A05E7E"/>
    <w:rsid w:val="00A07FE0"/>
    <w:rsid w:val="00A107D0"/>
    <w:rsid w:val="00A10D91"/>
    <w:rsid w:val="00A10DAB"/>
    <w:rsid w:val="00A11307"/>
    <w:rsid w:val="00A117D4"/>
    <w:rsid w:val="00A124D4"/>
    <w:rsid w:val="00A12849"/>
    <w:rsid w:val="00A1375B"/>
    <w:rsid w:val="00A13AF3"/>
    <w:rsid w:val="00A144BF"/>
    <w:rsid w:val="00A15552"/>
    <w:rsid w:val="00A21388"/>
    <w:rsid w:val="00A23AE4"/>
    <w:rsid w:val="00A260CB"/>
    <w:rsid w:val="00A27791"/>
    <w:rsid w:val="00A31D7F"/>
    <w:rsid w:val="00A324D6"/>
    <w:rsid w:val="00A33592"/>
    <w:rsid w:val="00A33A95"/>
    <w:rsid w:val="00A34EE6"/>
    <w:rsid w:val="00A3547D"/>
    <w:rsid w:val="00A35D46"/>
    <w:rsid w:val="00A4078F"/>
    <w:rsid w:val="00A41355"/>
    <w:rsid w:val="00A41892"/>
    <w:rsid w:val="00A42A6D"/>
    <w:rsid w:val="00A43829"/>
    <w:rsid w:val="00A43B62"/>
    <w:rsid w:val="00A43B92"/>
    <w:rsid w:val="00A4535C"/>
    <w:rsid w:val="00A45846"/>
    <w:rsid w:val="00A46499"/>
    <w:rsid w:val="00A4745D"/>
    <w:rsid w:val="00A479F6"/>
    <w:rsid w:val="00A47BCA"/>
    <w:rsid w:val="00A503CD"/>
    <w:rsid w:val="00A512AB"/>
    <w:rsid w:val="00A522B8"/>
    <w:rsid w:val="00A54251"/>
    <w:rsid w:val="00A54676"/>
    <w:rsid w:val="00A549E0"/>
    <w:rsid w:val="00A54F55"/>
    <w:rsid w:val="00A56800"/>
    <w:rsid w:val="00A57270"/>
    <w:rsid w:val="00A578EC"/>
    <w:rsid w:val="00A57BA1"/>
    <w:rsid w:val="00A6179E"/>
    <w:rsid w:val="00A62A8A"/>
    <w:rsid w:val="00A634FF"/>
    <w:rsid w:val="00A63F78"/>
    <w:rsid w:val="00A64316"/>
    <w:rsid w:val="00A6478B"/>
    <w:rsid w:val="00A64F9C"/>
    <w:rsid w:val="00A6534A"/>
    <w:rsid w:val="00A65DD2"/>
    <w:rsid w:val="00A66682"/>
    <w:rsid w:val="00A67989"/>
    <w:rsid w:val="00A71EBE"/>
    <w:rsid w:val="00A72F3A"/>
    <w:rsid w:val="00A73504"/>
    <w:rsid w:val="00A74D4E"/>
    <w:rsid w:val="00A754A7"/>
    <w:rsid w:val="00A75709"/>
    <w:rsid w:val="00A758BA"/>
    <w:rsid w:val="00A77555"/>
    <w:rsid w:val="00A804D9"/>
    <w:rsid w:val="00A81521"/>
    <w:rsid w:val="00A8184A"/>
    <w:rsid w:val="00A82103"/>
    <w:rsid w:val="00A84A1A"/>
    <w:rsid w:val="00A8763A"/>
    <w:rsid w:val="00A9054D"/>
    <w:rsid w:val="00A90E30"/>
    <w:rsid w:val="00A92000"/>
    <w:rsid w:val="00A922EA"/>
    <w:rsid w:val="00A9280B"/>
    <w:rsid w:val="00A92F92"/>
    <w:rsid w:val="00A957A6"/>
    <w:rsid w:val="00A95B3F"/>
    <w:rsid w:val="00A96892"/>
    <w:rsid w:val="00A96C7A"/>
    <w:rsid w:val="00A97042"/>
    <w:rsid w:val="00A974D0"/>
    <w:rsid w:val="00A9752A"/>
    <w:rsid w:val="00A97DA0"/>
    <w:rsid w:val="00AA12DB"/>
    <w:rsid w:val="00AA1BAF"/>
    <w:rsid w:val="00AA2051"/>
    <w:rsid w:val="00AA486E"/>
    <w:rsid w:val="00AA4C22"/>
    <w:rsid w:val="00AA5107"/>
    <w:rsid w:val="00AA62D4"/>
    <w:rsid w:val="00AA68DC"/>
    <w:rsid w:val="00AB2645"/>
    <w:rsid w:val="00AB3C87"/>
    <w:rsid w:val="00AB403D"/>
    <w:rsid w:val="00AB441C"/>
    <w:rsid w:val="00AB4528"/>
    <w:rsid w:val="00AB6041"/>
    <w:rsid w:val="00AC0B54"/>
    <w:rsid w:val="00AC226A"/>
    <w:rsid w:val="00AC2DA0"/>
    <w:rsid w:val="00AC357A"/>
    <w:rsid w:val="00AC4315"/>
    <w:rsid w:val="00AC5971"/>
    <w:rsid w:val="00AC67FA"/>
    <w:rsid w:val="00AC784E"/>
    <w:rsid w:val="00AD45B1"/>
    <w:rsid w:val="00AD5456"/>
    <w:rsid w:val="00AD59A1"/>
    <w:rsid w:val="00AE5CC1"/>
    <w:rsid w:val="00AE600D"/>
    <w:rsid w:val="00AE6792"/>
    <w:rsid w:val="00AE7EBA"/>
    <w:rsid w:val="00AF1054"/>
    <w:rsid w:val="00AF1AB3"/>
    <w:rsid w:val="00AF56BB"/>
    <w:rsid w:val="00AF5B2C"/>
    <w:rsid w:val="00AF600E"/>
    <w:rsid w:val="00AF7BDA"/>
    <w:rsid w:val="00B01994"/>
    <w:rsid w:val="00B02EAA"/>
    <w:rsid w:val="00B056AD"/>
    <w:rsid w:val="00B05976"/>
    <w:rsid w:val="00B05FA2"/>
    <w:rsid w:val="00B0769D"/>
    <w:rsid w:val="00B10024"/>
    <w:rsid w:val="00B11487"/>
    <w:rsid w:val="00B12266"/>
    <w:rsid w:val="00B122C7"/>
    <w:rsid w:val="00B126D9"/>
    <w:rsid w:val="00B14DD2"/>
    <w:rsid w:val="00B15C4F"/>
    <w:rsid w:val="00B221E5"/>
    <w:rsid w:val="00B226AD"/>
    <w:rsid w:val="00B2288C"/>
    <w:rsid w:val="00B23B4C"/>
    <w:rsid w:val="00B24004"/>
    <w:rsid w:val="00B24B1D"/>
    <w:rsid w:val="00B24FEA"/>
    <w:rsid w:val="00B277E0"/>
    <w:rsid w:val="00B32D3D"/>
    <w:rsid w:val="00B3344F"/>
    <w:rsid w:val="00B3462F"/>
    <w:rsid w:val="00B34946"/>
    <w:rsid w:val="00B34BCB"/>
    <w:rsid w:val="00B35BAC"/>
    <w:rsid w:val="00B36FB9"/>
    <w:rsid w:val="00B37C40"/>
    <w:rsid w:val="00B40DA2"/>
    <w:rsid w:val="00B4310F"/>
    <w:rsid w:val="00B43479"/>
    <w:rsid w:val="00B43B7C"/>
    <w:rsid w:val="00B43FBD"/>
    <w:rsid w:val="00B45321"/>
    <w:rsid w:val="00B4678C"/>
    <w:rsid w:val="00B467FA"/>
    <w:rsid w:val="00B46DC7"/>
    <w:rsid w:val="00B47EB1"/>
    <w:rsid w:val="00B50145"/>
    <w:rsid w:val="00B516F9"/>
    <w:rsid w:val="00B519FD"/>
    <w:rsid w:val="00B51FD1"/>
    <w:rsid w:val="00B520BC"/>
    <w:rsid w:val="00B5277F"/>
    <w:rsid w:val="00B52781"/>
    <w:rsid w:val="00B53A74"/>
    <w:rsid w:val="00B54EFD"/>
    <w:rsid w:val="00B557C0"/>
    <w:rsid w:val="00B557D6"/>
    <w:rsid w:val="00B56C1C"/>
    <w:rsid w:val="00B60326"/>
    <w:rsid w:val="00B6144C"/>
    <w:rsid w:val="00B61ED0"/>
    <w:rsid w:val="00B63BD4"/>
    <w:rsid w:val="00B63D24"/>
    <w:rsid w:val="00B6450F"/>
    <w:rsid w:val="00B64EA8"/>
    <w:rsid w:val="00B65ED3"/>
    <w:rsid w:val="00B67B37"/>
    <w:rsid w:val="00B71243"/>
    <w:rsid w:val="00B719B2"/>
    <w:rsid w:val="00B71AFF"/>
    <w:rsid w:val="00B727A1"/>
    <w:rsid w:val="00B73AAD"/>
    <w:rsid w:val="00B756E7"/>
    <w:rsid w:val="00B75E91"/>
    <w:rsid w:val="00B76C18"/>
    <w:rsid w:val="00B770D3"/>
    <w:rsid w:val="00B77343"/>
    <w:rsid w:val="00B77EC4"/>
    <w:rsid w:val="00B844FD"/>
    <w:rsid w:val="00B84880"/>
    <w:rsid w:val="00B867C3"/>
    <w:rsid w:val="00B86C9D"/>
    <w:rsid w:val="00B91789"/>
    <w:rsid w:val="00B924E6"/>
    <w:rsid w:val="00B938A7"/>
    <w:rsid w:val="00B93940"/>
    <w:rsid w:val="00B956B9"/>
    <w:rsid w:val="00B959CE"/>
    <w:rsid w:val="00BA004E"/>
    <w:rsid w:val="00BA1B74"/>
    <w:rsid w:val="00BA262D"/>
    <w:rsid w:val="00BA2894"/>
    <w:rsid w:val="00BA5698"/>
    <w:rsid w:val="00BA57BB"/>
    <w:rsid w:val="00BA5C7F"/>
    <w:rsid w:val="00BA6382"/>
    <w:rsid w:val="00BB168B"/>
    <w:rsid w:val="00BB1D9C"/>
    <w:rsid w:val="00BB1F19"/>
    <w:rsid w:val="00BB2F88"/>
    <w:rsid w:val="00BB5A3E"/>
    <w:rsid w:val="00BC2DB9"/>
    <w:rsid w:val="00BC3A01"/>
    <w:rsid w:val="00BC4881"/>
    <w:rsid w:val="00BC79EB"/>
    <w:rsid w:val="00BD33EB"/>
    <w:rsid w:val="00BD4D68"/>
    <w:rsid w:val="00BD5160"/>
    <w:rsid w:val="00BD581C"/>
    <w:rsid w:val="00BD7FCF"/>
    <w:rsid w:val="00BE167F"/>
    <w:rsid w:val="00BE3EE5"/>
    <w:rsid w:val="00BE75A5"/>
    <w:rsid w:val="00BF0626"/>
    <w:rsid w:val="00BF2840"/>
    <w:rsid w:val="00BF288F"/>
    <w:rsid w:val="00BF323C"/>
    <w:rsid w:val="00BF4876"/>
    <w:rsid w:val="00BF6F96"/>
    <w:rsid w:val="00BF73DD"/>
    <w:rsid w:val="00BF7490"/>
    <w:rsid w:val="00BF7A9B"/>
    <w:rsid w:val="00C006DD"/>
    <w:rsid w:val="00C008DC"/>
    <w:rsid w:val="00C0162E"/>
    <w:rsid w:val="00C025DD"/>
    <w:rsid w:val="00C026E3"/>
    <w:rsid w:val="00C03839"/>
    <w:rsid w:val="00C03B93"/>
    <w:rsid w:val="00C041C7"/>
    <w:rsid w:val="00C0442F"/>
    <w:rsid w:val="00C04BD0"/>
    <w:rsid w:val="00C051A5"/>
    <w:rsid w:val="00C06574"/>
    <w:rsid w:val="00C0671E"/>
    <w:rsid w:val="00C06F17"/>
    <w:rsid w:val="00C07955"/>
    <w:rsid w:val="00C10889"/>
    <w:rsid w:val="00C1208A"/>
    <w:rsid w:val="00C12458"/>
    <w:rsid w:val="00C12A96"/>
    <w:rsid w:val="00C132C6"/>
    <w:rsid w:val="00C146D9"/>
    <w:rsid w:val="00C16653"/>
    <w:rsid w:val="00C17074"/>
    <w:rsid w:val="00C20C86"/>
    <w:rsid w:val="00C21353"/>
    <w:rsid w:val="00C21AE9"/>
    <w:rsid w:val="00C24B57"/>
    <w:rsid w:val="00C254EA"/>
    <w:rsid w:val="00C25BDA"/>
    <w:rsid w:val="00C2618F"/>
    <w:rsid w:val="00C267A5"/>
    <w:rsid w:val="00C278BF"/>
    <w:rsid w:val="00C32875"/>
    <w:rsid w:val="00C32922"/>
    <w:rsid w:val="00C329BB"/>
    <w:rsid w:val="00C33104"/>
    <w:rsid w:val="00C338F3"/>
    <w:rsid w:val="00C34AE8"/>
    <w:rsid w:val="00C36F85"/>
    <w:rsid w:val="00C3780D"/>
    <w:rsid w:val="00C37A78"/>
    <w:rsid w:val="00C40616"/>
    <w:rsid w:val="00C408AE"/>
    <w:rsid w:val="00C40F70"/>
    <w:rsid w:val="00C4199C"/>
    <w:rsid w:val="00C428CE"/>
    <w:rsid w:val="00C43F2D"/>
    <w:rsid w:val="00C448AE"/>
    <w:rsid w:val="00C478B5"/>
    <w:rsid w:val="00C50021"/>
    <w:rsid w:val="00C50889"/>
    <w:rsid w:val="00C51D88"/>
    <w:rsid w:val="00C52C27"/>
    <w:rsid w:val="00C53135"/>
    <w:rsid w:val="00C534A0"/>
    <w:rsid w:val="00C540A2"/>
    <w:rsid w:val="00C555EF"/>
    <w:rsid w:val="00C5563E"/>
    <w:rsid w:val="00C56360"/>
    <w:rsid w:val="00C56571"/>
    <w:rsid w:val="00C572DA"/>
    <w:rsid w:val="00C57EA8"/>
    <w:rsid w:val="00C64291"/>
    <w:rsid w:val="00C64693"/>
    <w:rsid w:val="00C65ADC"/>
    <w:rsid w:val="00C6613D"/>
    <w:rsid w:val="00C7247C"/>
    <w:rsid w:val="00C747A2"/>
    <w:rsid w:val="00C75C38"/>
    <w:rsid w:val="00C766DE"/>
    <w:rsid w:val="00C77453"/>
    <w:rsid w:val="00C81928"/>
    <w:rsid w:val="00C82D35"/>
    <w:rsid w:val="00C82DCD"/>
    <w:rsid w:val="00C83F19"/>
    <w:rsid w:val="00C85451"/>
    <w:rsid w:val="00C854D4"/>
    <w:rsid w:val="00C8604E"/>
    <w:rsid w:val="00C865CA"/>
    <w:rsid w:val="00C867CF"/>
    <w:rsid w:val="00C8778B"/>
    <w:rsid w:val="00C87E6E"/>
    <w:rsid w:val="00C90556"/>
    <w:rsid w:val="00C90E5B"/>
    <w:rsid w:val="00C91C76"/>
    <w:rsid w:val="00C91E4D"/>
    <w:rsid w:val="00C91E87"/>
    <w:rsid w:val="00C92A86"/>
    <w:rsid w:val="00C93646"/>
    <w:rsid w:val="00C94465"/>
    <w:rsid w:val="00C964A4"/>
    <w:rsid w:val="00C968B8"/>
    <w:rsid w:val="00C971FF"/>
    <w:rsid w:val="00CA04B2"/>
    <w:rsid w:val="00CA0D78"/>
    <w:rsid w:val="00CA0E2B"/>
    <w:rsid w:val="00CA1F0B"/>
    <w:rsid w:val="00CA2765"/>
    <w:rsid w:val="00CA2B31"/>
    <w:rsid w:val="00CA30AB"/>
    <w:rsid w:val="00CA4855"/>
    <w:rsid w:val="00CA51A9"/>
    <w:rsid w:val="00CA6B63"/>
    <w:rsid w:val="00CA6F6C"/>
    <w:rsid w:val="00CB1C85"/>
    <w:rsid w:val="00CB24FE"/>
    <w:rsid w:val="00CB4413"/>
    <w:rsid w:val="00CB47F9"/>
    <w:rsid w:val="00CB7C13"/>
    <w:rsid w:val="00CB7F90"/>
    <w:rsid w:val="00CC0AF9"/>
    <w:rsid w:val="00CC1EE9"/>
    <w:rsid w:val="00CC20EE"/>
    <w:rsid w:val="00CC24A5"/>
    <w:rsid w:val="00CC2D91"/>
    <w:rsid w:val="00CC3623"/>
    <w:rsid w:val="00CC42FE"/>
    <w:rsid w:val="00CC7DF1"/>
    <w:rsid w:val="00CD0195"/>
    <w:rsid w:val="00CD1C6F"/>
    <w:rsid w:val="00CD3865"/>
    <w:rsid w:val="00CD58FD"/>
    <w:rsid w:val="00CE2228"/>
    <w:rsid w:val="00CE286B"/>
    <w:rsid w:val="00CE2910"/>
    <w:rsid w:val="00CE5DF4"/>
    <w:rsid w:val="00CF2417"/>
    <w:rsid w:val="00CF2794"/>
    <w:rsid w:val="00CF4B31"/>
    <w:rsid w:val="00CF58F6"/>
    <w:rsid w:val="00CF614D"/>
    <w:rsid w:val="00D02236"/>
    <w:rsid w:val="00D036CC"/>
    <w:rsid w:val="00D051DE"/>
    <w:rsid w:val="00D07238"/>
    <w:rsid w:val="00D07C08"/>
    <w:rsid w:val="00D12253"/>
    <w:rsid w:val="00D134B7"/>
    <w:rsid w:val="00D13533"/>
    <w:rsid w:val="00D1586B"/>
    <w:rsid w:val="00D160E4"/>
    <w:rsid w:val="00D1683A"/>
    <w:rsid w:val="00D170A3"/>
    <w:rsid w:val="00D17181"/>
    <w:rsid w:val="00D17C18"/>
    <w:rsid w:val="00D20F40"/>
    <w:rsid w:val="00D218CD"/>
    <w:rsid w:val="00D224A9"/>
    <w:rsid w:val="00D23673"/>
    <w:rsid w:val="00D25313"/>
    <w:rsid w:val="00D26AFE"/>
    <w:rsid w:val="00D272C1"/>
    <w:rsid w:val="00D3041C"/>
    <w:rsid w:val="00D30A61"/>
    <w:rsid w:val="00D31443"/>
    <w:rsid w:val="00D315F5"/>
    <w:rsid w:val="00D3434C"/>
    <w:rsid w:val="00D343F2"/>
    <w:rsid w:val="00D343FA"/>
    <w:rsid w:val="00D34979"/>
    <w:rsid w:val="00D359B7"/>
    <w:rsid w:val="00D362A7"/>
    <w:rsid w:val="00D36759"/>
    <w:rsid w:val="00D379EF"/>
    <w:rsid w:val="00D406B7"/>
    <w:rsid w:val="00D409C4"/>
    <w:rsid w:val="00D418FF"/>
    <w:rsid w:val="00D41DB6"/>
    <w:rsid w:val="00D42EF2"/>
    <w:rsid w:val="00D42FE0"/>
    <w:rsid w:val="00D432E2"/>
    <w:rsid w:val="00D43698"/>
    <w:rsid w:val="00D43A84"/>
    <w:rsid w:val="00D43FD7"/>
    <w:rsid w:val="00D4505F"/>
    <w:rsid w:val="00D4655E"/>
    <w:rsid w:val="00D46F21"/>
    <w:rsid w:val="00D4763B"/>
    <w:rsid w:val="00D478D2"/>
    <w:rsid w:val="00D50664"/>
    <w:rsid w:val="00D5331E"/>
    <w:rsid w:val="00D53321"/>
    <w:rsid w:val="00D5399D"/>
    <w:rsid w:val="00D54D03"/>
    <w:rsid w:val="00D556C3"/>
    <w:rsid w:val="00D56F98"/>
    <w:rsid w:val="00D57129"/>
    <w:rsid w:val="00D57161"/>
    <w:rsid w:val="00D6034B"/>
    <w:rsid w:val="00D60982"/>
    <w:rsid w:val="00D63682"/>
    <w:rsid w:val="00D64874"/>
    <w:rsid w:val="00D6564B"/>
    <w:rsid w:val="00D65C76"/>
    <w:rsid w:val="00D7025F"/>
    <w:rsid w:val="00D72687"/>
    <w:rsid w:val="00D729AD"/>
    <w:rsid w:val="00D734C7"/>
    <w:rsid w:val="00D739CB"/>
    <w:rsid w:val="00D766AD"/>
    <w:rsid w:val="00D770E5"/>
    <w:rsid w:val="00D77536"/>
    <w:rsid w:val="00D80E99"/>
    <w:rsid w:val="00D8116A"/>
    <w:rsid w:val="00D84573"/>
    <w:rsid w:val="00D857A0"/>
    <w:rsid w:val="00D86022"/>
    <w:rsid w:val="00D87284"/>
    <w:rsid w:val="00D90278"/>
    <w:rsid w:val="00D9032C"/>
    <w:rsid w:val="00D90A40"/>
    <w:rsid w:val="00D91678"/>
    <w:rsid w:val="00D948EA"/>
    <w:rsid w:val="00D950F1"/>
    <w:rsid w:val="00D96071"/>
    <w:rsid w:val="00DA0A50"/>
    <w:rsid w:val="00DA160C"/>
    <w:rsid w:val="00DA2F73"/>
    <w:rsid w:val="00DA362C"/>
    <w:rsid w:val="00DA65B7"/>
    <w:rsid w:val="00DA6C9A"/>
    <w:rsid w:val="00DA6D69"/>
    <w:rsid w:val="00DB105B"/>
    <w:rsid w:val="00DB3669"/>
    <w:rsid w:val="00DB56F0"/>
    <w:rsid w:val="00DB5EFD"/>
    <w:rsid w:val="00DB6283"/>
    <w:rsid w:val="00DB6A4E"/>
    <w:rsid w:val="00DB77EC"/>
    <w:rsid w:val="00DB7851"/>
    <w:rsid w:val="00DC01E0"/>
    <w:rsid w:val="00DC462F"/>
    <w:rsid w:val="00DC5249"/>
    <w:rsid w:val="00DC6B1B"/>
    <w:rsid w:val="00DC7E53"/>
    <w:rsid w:val="00DD1121"/>
    <w:rsid w:val="00DD12A2"/>
    <w:rsid w:val="00DD2AF0"/>
    <w:rsid w:val="00DD35F1"/>
    <w:rsid w:val="00DD49D9"/>
    <w:rsid w:val="00DD4B0E"/>
    <w:rsid w:val="00DD6A21"/>
    <w:rsid w:val="00DD7CAB"/>
    <w:rsid w:val="00DE04D7"/>
    <w:rsid w:val="00DE1E7C"/>
    <w:rsid w:val="00DE39B3"/>
    <w:rsid w:val="00DE3BBD"/>
    <w:rsid w:val="00DE457C"/>
    <w:rsid w:val="00DE4E2C"/>
    <w:rsid w:val="00DE502E"/>
    <w:rsid w:val="00DE5CDB"/>
    <w:rsid w:val="00DE60CA"/>
    <w:rsid w:val="00DE621E"/>
    <w:rsid w:val="00DE772B"/>
    <w:rsid w:val="00DF0768"/>
    <w:rsid w:val="00DF09E1"/>
    <w:rsid w:val="00DF0B56"/>
    <w:rsid w:val="00DF0D6E"/>
    <w:rsid w:val="00DF151C"/>
    <w:rsid w:val="00DF1547"/>
    <w:rsid w:val="00DF1F59"/>
    <w:rsid w:val="00DF20CF"/>
    <w:rsid w:val="00DF31D6"/>
    <w:rsid w:val="00DF3516"/>
    <w:rsid w:val="00DF3DC0"/>
    <w:rsid w:val="00DF43F6"/>
    <w:rsid w:val="00DF510B"/>
    <w:rsid w:val="00DF72C6"/>
    <w:rsid w:val="00DF7DBB"/>
    <w:rsid w:val="00E00066"/>
    <w:rsid w:val="00E00E0C"/>
    <w:rsid w:val="00E0137C"/>
    <w:rsid w:val="00E01A93"/>
    <w:rsid w:val="00E02AC8"/>
    <w:rsid w:val="00E03683"/>
    <w:rsid w:val="00E0381C"/>
    <w:rsid w:val="00E03D1D"/>
    <w:rsid w:val="00E03DC7"/>
    <w:rsid w:val="00E05633"/>
    <w:rsid w:val="00E074E7"/>
    <w:rsid w:val="00E0761A"/>
    <w:rsid w:val="00E106B6"/>
    <w:rsid w:val="00E10C10"/>
    <w:rsid w:val="00E10D78"/>
    <w:rsid w:val="00E1190B"/>
    <w:rsid w:val="00E12B7A"/>
    <w:rsid w:val="00E15904"/>
    <w:rsid w:val="00E15971"/>
    <w:rsid w:val="00E15BB7"/>
    <w:rsid w:val="00E21278"/>
    <w:rsid w:val="00E2155B"/>
    <w:rsid w:val="00E21A31"/>
    <w:rsid w:val="00E22BAD"/>
    <w:rsid w:val="00E22D35"/>
    <w:rsid w:val="00E24FA3"/>
    <w:rsid w:val="00E266B6"/>
    <w:rsid w:val="00E26B28"/>
    <w:rsid w:val="00E2739D"/>
    <w:rsid w:val="00E3096C"/>
    <w:rsid w:val="00E30D1B"/>
    <w:rsid w:val="00E30F84"/>
    <w:rsid w:val="00E31465"/>
    <w:rsid w:val="00E328CD"/>
    <w:rsid w:val="00E32A4F"/>
    <w:rsid w:val="00E340E1"/>
    <w:rsid w:val="00E345C0"/>
    <w:rsid w:val="00E35DAE"/>
    <w:rsid w:val="00E36B95"/>
    <w:rsid w:val="00E36FFB"/>
    <w:rsid w:val="00E37EAD"/>
    <w:rsid w:val="00E4003F"/>
    <w:rsid w:val="00E40390"/>
    <w:rsid w:val="00E40EFC"/>
    <w:rsid w:val="00E4101C"/>
    <w:rsid w:val="00E42D8B"/>
    <w:rsid w:val="00E4413C"/>
    <w:rsid w:val="00E44261"/>
    <w:rsid w:val="00E443AC"/>
    <w:rsid w:val="00E44BB7"/>
    <w:rsid w:val="00E458F6"/>
    <w:rsid w:val="00E45954"/>
    <w:rsid w:val="00E4658A"/>
    <w:rsid w:val="00E46C2D"/>
    <w:rsid w:val="00E50A41"/>
    <w:rsid w:val="00E519EB"/>
    <w:rsid w:val="00E51B7D"/>
    <w:rsid w:val="00E51E87"/>
    <w:rsid w:val="00E53274"/>
    <w:rsid w:val="00E539CD"/>
    <w:rsid w:val="00E53F0C"/>
    <w:rsid w:val="00E53F42"/>
    <w:rsid w:val="00E548BE"/>
    <w:rsid w:val="00E57525"/>
    <w:rsid w:val="00E6355C"/>
    <w:rsid w:val="00E63D4C"/>
    <w:rsid w:val="00E65BAD"/>
    <w:rsid w:val="00E66059"/>
    <w:rsid w:val="00E66F52"/>
    <w:rsid w:val="00E67D44"/>
    <w:rsid w:val="00E67FB7"/>
    <w:rsid w:val="00E7149B"/>
    <w:rsid w:val="00E71BC4"/>
    <w:rsid w:val="00E728A2"/>
    <w:rsid w:val="00E72FF3"/>
    <w:rsid w:val="00E73260"/>
    <w:rsid w:val="00E733BA"/>
    <w:rsid w:val="00E735B2"/>
    <w:rsid w:val="00E73B60"/>
    <w:rsid w:val="00E73EAA"/>
    <w:rsid w:val="00E7543B"/>
    <w:rsid w:val="00E762BB"/>
    <w:rsid w:val="00E7639D"/>
    <w:rsid w:val="00E76CA0"/>
    <w:rsid w:val="00E7730F"/>
    <w:rsid w:val="00E80111"/>
    <w:rsid w:val="00E80CCE"/>
    <w:rsid w:val="00E80E91"/>
    <w:rsid w:val="00E83AD5"/>
    <w:rsid w:val="00E86F91"/>
    <w:rsid w:val="00E87E1D"/>
    <w:rsid w:val="00E90782"/>
    <w:rsid w:val="00E91C0D"/>
    <w:rsid w:val="00E92A25"/>
    <w:rsid w:val="00E935DB"/>
    <w:rsid w:val="00E94F0E"/>
    <w:rsid w:val="00E95BE5"/>
    <w:rsid w:val="00E95C2C"/>
    <w:rsid w:val="00E95E23"/>
    <w:rsid w:val="00E96C2B"/>
    <w:rsid w:val="00E97476"/>
    <w:rsid w:val="00E97A1A"/>
    <w:rsid w:val="00EA02CC"/>
    <w:rsid w:val="00EA14EC"/>
    <w:rsid w:val="00EA1707"/>
    <w:rsid w:val="00EA2A37"/>
    <w:rsid w:val="00EA393D"/>
    <w:rsid w:val="00EA3CCA"/>
    <w:rsid w:val="00EA43F2"/>
    <w:rsid w:val="00EA44D9"/>
    <w:rsid w:val="00EA57A2"/>
    <w:rsid w:val="00EA6A19"/>
    <w:rsid w:val="00EB092F"/>
    <w:rsid w:val="00EB098F"/>
    <w:rsid w:val="00EB26A7"/>
    <w:rsid w:val="00EB2F24"/>
    <w:rsid w:val="00EB3A13"/>
    <w:rsid w:val="00EB4C9F"/>
    <w:rsid w:val="00EB5169"/>
    <w:rsid w:val="00EB6A76"/>
    <w:rsid w:val="00EB72EA"/>
    <w:rsid w:val="00EB7458"/>
    <w:rsid w:val="00EB7850"/>
    <w:rsid w:val="00EC017D"/>
    <w:rsid w:val="00EC0C89"/>
    <w:rsid w:val="00EC214A"/>
    <w:rsid w:val="00EC5409"/>
    <w:rsid w:val="00EC7919"/>
    <w:rsid w:val="00EC7F50"/>
    <w:rsid w:val="00ED006F"/>
    <w:rsid w:val="00ED01D6"/>
    <w:rsid w:val="00ED031A"/>
    <w:rsid w:val="00ED0E16"/>
    <w:rsid w:val="00ED10CB"/>
    <w:rsid w:val="00ED2105"/>
    <w:rsid w:val="00ED2964"/>
    <w:rsid w:val="00ED348B"/>
    <w:rsid w:val="00ED37BE"/>
    <w:rsid w:val="00ED6479"/>
    <w:rsid w:val="00ED6B66"/>
    <w:rsid w:val="00EE1393"/>
    <w:rsid w:val="00EE1803"/>
    <w:rsid w:val="00EE2263"/>
    <w:rsid w:val="00EE3B78"/>
    <w:rsid w:val="00EE5B0E"/>
    <w:rsid w:val="00EF0C4C"/>
    <w:rsid w:val="00EF0CC9"/>
    <w:rsid w:val="00EF1015"/>
    <w:rsid w:val="00EF3B6A"/>
    <w:rsid w:val="00EF4802"/>
    <w:rsid w:val="00EF49DE"/>
    <w:rsid w:val="00EF5547"/>
    <w:rsid w:val="00EF6AAC"/>
    <w:rsid w:val="00F004CC"/>
    <w:rsid w:val="00F00D02"/>
    <w:rsid w:val="00F01FC9"/>
    <w:rsid w:val="00F02387"/>
    <w:rsid w:val="00F03DAA"/>
    <w:rsid w:val="00F04FD6"/>
    <w:rsid w:val="00F0509A"/>
    <w:rsid w:val="00F051A5"/>
    <w:rsid w:val="00F053D6"/>
    <w:rsid w:val="00F0578E"/>
    <w:rsid w:val="00F0593E"/>
    <w:rsid w:val="00F059BE"/>
    <w:rsid w:val="00F113CA"/>
    <w:rsid w:val="00F11A81"/>
    <w:rsid w:val="00F12517"/>
    <w:rsid w:val="00F12F76"/>
    <w:rsid w:val="00F13233"/>
    <w:rsid w:val="00F147C0"/>
    <w:rsid w:val="00F14C6D"/>
    <w:rsid w:val="00F157ED"/>
    <w:rsid w:val="00F16804"/>
    <w:rsid w:val="00F177BB"/>
    <w:rsid w:val="00F207C2"/>
    <w:rsid w:val="00F20BA9"/>
    <w:rsid w:val="00F21347"/>
    <w:rsid w:val="00F21A13"/>
    <w:rsid w:val="00F22127"/>
    <w:rsid w:val="00F229DC"/>
    <w:rsid w:val="00F2758F"/>
    <w:rsid w:val="00F318EF"/>
    <w:rsid w:val="00F319BF"/>
    <w:rsid w:val="00F363E6"/>
    <w:rsid w:val="00F369A0"/>
    <w:rsid w:val="00F40CCF"/>
    <w:rsid w:val="00F41449"/>
    <w:rsid w:val="00F42F7E"/>
    <w:rsid w:val="00F44EC5"/>
    <w:rsid w:val="00F45C98"/>
    <w:rsid w:val="00F50D29"/>
    <w:rsid w:val="00F510E3"/>
    <w:rsid w:val="00F5119D"/>
    <w:rsid w:val="00F5185E"/>
    <w:rsid w:val="00F51CFB"/>
    <w:rsid w:val="00F521FB"/>
    <w:rsid w:val="00F536BA"/>
    <w:rsid w:val="00F53A3A"/>
    <w:rsid w:val="00F55F10"/>
    <w:rsid w:val="00F56E4E"/>
    <w:rsid w:val="00F61CBF"/>
    <w:rsid w:val="00F62320"/>
    <w:rsid w:val="00F625C1"/>
    <w:rsid w:val="00F63DDE"/>
    <w:rsid w:val="00F65D7D"/>
    <w:rsid w:val="00F66C63"/>
    <w:rsid w:val="00F67672"/>
    <w:rsid w:val="00F67A72"/>
    <w:rsid w:val="00F74AE3"/>
    <w:rsid w:val="00F75965"/>
    <w:rsid w:val="00F75FF6"/>
    <w:rsid w:val="00F76FCC"/>
    <w:rsid w:val="00F7734F"/>
    <w:rsid w:val="00F8247D"/>
    <w:rsid w:val="00F82635"/>
    <w:rsid w:val="00F84BAE"/>
    <w:rsid w:val="00F8520F"/>
    <w:rsid w:val="00F85AE9"/>
    <w:rsid w:val="00F862BA"/>
    <w:rsid w:val="00F939C0"/>
    <w:rsid w:val="00F93D78"/>
    <w:rsid w:val="00F94A15"/>
    <w:rsid w:val="00F94AFE"/>
    <w:rsid w:val="00F9614F"/>
    <w:rsid w:val="00F97E45"/>
    <w:rsid w:val="00FA00BF"/>
    <w:rsid w:val="00FA0C4A"/>
    <w:rsid w:val="00FA178E"/>
    <w:rsid w:val="00FA2409"/>
    <w:rsid w:val="00FA4916"/>
    <w:rsid w:val="00FA547F"/>
    <w:rsid w:val="00FA54E8"/>
    <w:rsid w:val="00FA5BBE"/>
    <w:rsid w:val="00FB30D8"/>
    <w:rsid w:val="00FB3355"/>
    <w:rsid w:val="00FB5C17"/>
    <w:rsid w:val="00FB704E"/>
    <w:rsid w:val="00FB7DED"/>
    <w:rsid w:val="00FC1288"/>
    <w:rsid w:val="00FC3A30"/>
    <w:rsid w:val="00FC4A81"/>
    <w:rsid w:val="00FC604A"/>
    <w:rsid w:val="00FC6DD1"/>
    <w:rsid w:val="00FD01B5"/>
    <w:rsid w:val="00FD0229"/>
    <w:rsid w:val="00FD051B"/>
    <w:rsid w:val="00FD2283"/>
    <w:rsid w:val="00FD28C2"/>
    <w:rsid w:val="00FD50C0"/>
    <w:rsid w:val="00FD6366"/>
    <w:rsid w:val="00FD6C2E"/>
    <w:rsid w:val="00FD7C9B"/>
    <w:rsid w:val="00FE07AA"/>
    <w:rsid w:val="00FE0A91"/>
    <w:rsid w:val="00FE0C19"/>
    <w:rsid w:val="00FE1A57"/>
    <w:rsid w:val="00FE3751"/>
    <w:rsid w:val="00FE651B"/>
    <w:rsid w:val="00FF08F8"/>
    <w:rsid w:val="00FF0ECB"/>
    <w:rsid w:val="00FF1686"/>
    <w:rsid w:val="00FF223E"/>
    <w:rsid w:val="00FF375E"/>
    <w:rsid w:val="00FF4BAD"/>
    <w:rsid w:val="00FF7A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qFormat="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433D07"/>
    <w:pPr>
      <w:tabs>
        <w:tab w:val="left" w:pos="1202"/>
        <w:tab w:val="right" w:leader="dot" w:pos="9060"/>
      </w:tabs>
      <w:spacing w:before="0"/>
      <w:ind w:left="1202" w:hanging="720"/>
    </w:pPr>
    <w:rPr>
      <w:rFonts w:cs="Arial"/>
      <w:i/>
      <w:noProof/>
      <w:sz w:val="22"/>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433D07"/>
    <w:pPr>
      <w:tabs>
        <w:tab w:val="right" w:leader="dot" w:pos="9060"/>
      </w:tabs>
      <w:ind w:left="720" w:hanging="720"/>
    </w:pPr>
    <w:rPr>
      <w:b/>
      <w:noProof/>
    </w:rPr>
  </w:style>
  <w:style w:type="paragraph" w:styleId="TOC2">
    <w:name w:val="toc 2"/>
    <w:basedOn w:val="Normal"/>
    <w:next w:val="Normal"/>
    <w:autoRedefine/>
    <w:uiPriority w:val="39"/>
    <w:qFormat/>
    <w:locked/>
    <w:rsid w:val="000F3A4C"/>
    <w:pPr>
      <w:tabs>
        <w:tab w:val="right" w:leader="dot" w:pos="9060"/>
      </w:tabs>
      <w:spacing w:before="0" w:after="120"/>
      <w:ind w:left="958" w:hanging="720"/>
    </w:pPr>
    <w:rPr>
      <w:b/>
      <w:i/>
      <w:noProof/>
      <w:sz w:val="22"/>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Char"/>
    <w:basedOn w:val="Normal"/>
    <w:link w:val="FootnoteTextChar"/>
    <w:qFormat/>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uiPriority w:val="99"/>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1,No Spacing11"/>
    <w:basedOn w:val="Normal"/>
    <w:link w:val="SubmissionNormalChar"/>
    <w:qFormat/>
    <w:rsid w:val="00B34946"/>
    <w:pPr>
      <w:numPr>
        <w:numId w:val="15"/>
      </w:numPr>
    </w:pPr>
    <w:rPr>
      <w:rFonts w:eastAsia="Times New Roman"/>
    </w:rPr>
  </w:style>
  <w:style w:type="character" w:customStyle="1" w:styleId="SubmissionNormalChar">
    <w:name w:val="Submission Normal Char"/>
    <w:aliases w:val="No Spacing Char,No Spacing1 Char,No Spacing11 Char,No Spacing2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numbering" w:customStyle="1" w:styleId="StyleNumbered">
    <w:name w:val="Style Numbered"/>
    <w:basedOn w:val="NoList"/>
    <w:semiHidden/>
    <w:rsid w:val="00D90A40"/>
    <w:pPr>
      <w:numPr>
        <w:numId w:val="17"/>
      </w:numPr>
    </w:pPr>
  </w:style>
  <w:style w:type="paragraph" w:customStyle="1" w:styleId="Contactdetails">
    <w:name w:val="Contact details"/>
    <w:basedOn w:val="Normal"/>
    <w:semiHidden/>
    <w:rsid w:val="00D90A40"/>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semiHidden/>
    <w:locked/>
    <w:rsid w:val="00D90A40"/>
    <w:rPr>
      <w:rFonts w:ascii="Arial" w:hAnsi="Arial"/>
      <w:bCs/>
      <w:i/>
      <w:sz w:val="24"/>
      <w:szCs w:val="26"/>
      <w:lang w:val="en-AU" w:eastAsia="en-AU" w:bidi="ar-SA"/>
    </w:rPr>
  </w:style>
  <w:style w:type="character" w:customStyle="1" w:styleId="CharChar8">
    <w:name w:val="Char Char8"/>
    <w:semiHidden/>
    <w:locked/>
    <w:rsid w:val="00D90A40"/>
    <w:rPr>
      <w:rFonts w:ascii="Arial" w:hAnsi="Arial"/>
      <w:iCs/>
      <w:sz w:val="24"/>
      <w:szCs w:val="26"/>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C Char"/>
    <w:link w:val="FootnoteText"/>
    <w:locked/>
    <w:rsid w:val="00D90A40"/>
    <w:rPr>
      <w:rFonts w:ascii="Arial" w:eastAsia="MS Mincho" w:hAnsi="Arial"/>
    </w:rPr>
  </w:style>
  <w:style w:type="paragraph" w:styleId="ListParagraph">
    <w:name w:val="List Paragraph"/>
    <w:basedOn w:val="Normal"/>
    <w:uiPriority w:val="34"/>
    <w:qFormat/>
    <w:rsid w:val="00D90A40"/>
    <w:pPr>
      <w:ind w:left="720"/>
      <w:contextualSpacing/>
    </w:pPr>
  </w:style>
  <w:style w:type="character" w:styleId="CommentReference">
    <w:name w:val="annotation reference"/>
    <w:locked/>
    <w:rsid w:val="00D90A40"/>
    <w:rPr>
      <w:sz w:val="16"/>
      <w:szCs w:val="16"/>
    </w:rPr>
  </w:style>
  <w:style w:type="paragraph" w:styleId="CommentText">
    <w:name w:val="annotation text"/>
    <w:basedOn w:val="Normal"/>
    <w:link w:val="CommentTextChar"/>
    <w:locked/>
    <w:rsid w:val="00D90A40"/>
    <w:rPr>
      <w:sz w:val="20"/>
      <w:szCs w:val="20"/>
    </w:rPr>
  </w:style>
  <w:style w:type="character" w:customStyle="1" w:styleId="CommentTextChar">
    <w:name w:val="Comment Text Char"/>
    <w:basedOn w:val="DefaultParagraphFont"/>
    <w:link w:val="CommentText"/>
    <w:rsid w:val="00D90A40"/>
    <w:rPr>
      <w:rFonts w:ascii="Arial" w:eastAsia="MS Mincho" w:hAnsi="Arial"/>
    </w:rPr>
  </w:style>
  <w:style w:type="character" w:customStyle="1" w:styleId="sb8d990e2">
    <w:name w:val="sb8d990e2"/>
    <w:rsid w:val="00D90A40"/>
  </w:style>
  <w:style w:type="paragraph" w:styleId="CommentSubject">
    <w:name w:val="annotation subject"/>
    <w:basedOn w:val="CommentText"/>
    <w:next w:val="CommentText"/>
    <w:link w:val="CommentSubjectChar"/>
    <w:locked/>
    <w:rsid w:val="00D90A40"/>
    <w:rPr>
      <w:b/>
      <w:bCs/>
    </w:rPr>
  </w:style>
  <w:style w:type="character" w:customStyle="1" w:styleId="CommentSubjectChar">
    <w:name w:val="Comment Subject Char"/>
    <w:basedOn w:val="CommentTextChar"/>
    <w:link w:val="CommentSubject"/>
    <w:rsid w:val="00D90A40"/>
    <w:rPr>
      <w:rFonts w:ascii="Arial" w:eastAsia="MS Mincho" w:hAnsi="Arial"/>
      <w:b/>
      <w:bCs/>
    </w:rPr>
  </w:style>
  <w:style w:type="character" w:customStyle="1" w:styleId="SubmissionnormalChar0">
    <w:name w:val="Submission normal Char"/>
    <w:link w:val="Submissionnormal0"/>
    <w:locked/>
    <w:rsid w:val="00D90A40"/>
    <w:rPr>
      <w:rFonts w:ascii="Arial" w:hAnsi="Arial" w:cs="Arial"/>
    </w:rPr>
  </w:style>
  <w:style w:type="paragraph" w:customStyle="1" w:styleId="Submissionnormal0">
    <w:name w:val="Submission normal"/>
    <w:basedOn w:val="Normal"/>
    <w:link w:val="SubmissionnormalChar0"/>
    <w:rsid w:val="00D90A40"/>
    <w:pPr>
      <w:tabs>
        <w:tab w:val="num" w:pos="360"/>
      </w:tabs>
    </w:pPr>
    <w:rPr>
      <w:rFonts w:eastAsia="Times New Roman" w:cs="Arial"/>
      <w:sz w:val="20"/>
      <w:szCs w:val="20"/>
    </w:rPr>
  </w:style>
  <w:style w:type="paragraph" w:styleId="NoSpacing">
    <w:name w:val="No Spacing"/>
    <w:aliases w:val="No Spacing2"/>
    <w:basedOn w:val="Normal"/>
    <w:qFormat/>
    <w:rsid w:val="00D90A40"/>
    <w:pPr>
      <w:tabs>
        <w:tab w:val="num" w:pos="720"/>
      </w:tabs>
      <w:ind w:left="720" w:hanging="360"/>
    </w:pPr>
    <w:rPr>
      <w:rFonts w:eastAsia="Times New Roman" w:cs="Arial"/>
    </w:rPr>
  </w:style>
  <w:style w:type="paragraph" w:styleId="Quote">
    <w:name w:val="Quote"/>
    <w:basedOn w:val="Normal"/>
    <w:next w:val="Normal"/>
    <w:link w:val="QuoteChar"/>
    <w:uiPriority w:val="99"/>
    <w:qFormat/>
    <w:rsid w:val="00D90A40"/>
    <w:rPr>
      <w:i/>
      <w:iCs/>
      <w:color w:val="000000"/>
    </w:rPr>
  </w:style>
  <w:style w:type="character" w:customStyle="1" w:styleId="QuoteChar">
    <w:name w:val="Quote Char"/>
    <w:basedOn w:val="DefaultParagraphFont"/>
    <w:link w:val="Quote"/>
    <w:uiPriority w:val="99"/>
    <w:rsid w:val="00D90A40"/>
    <w:rPr>
      <w:rFonts w:ascii="Arial" w:eastAsia="MS Mincho" w:hAnsi="Arial"/>
      <w:i/>
      <w:iCs/>
      <w:color w:val="000000"/>
      <w:sz w:val="24"/>
      <w:szCs w:val="24"/>
    </w:rPr>
  </w:style>
  <w:style w:type="character" w:customStyle="1" w:styleId="legtitle1">
    <w:name w:val="legtitle1"/>
    <w:rsid w:val="00D90A40"/>
    <w:rPr>
      <w:rFonts w:ascii="Arial" w:hAnsi="Arial" w:cs="Arial" w:hint="default"/>
      <w:b/>
      <w:bCs/>
      <w:color w:val="10418E"/>
      <w:sz w:val="40"/>
      <w:szCs w:val="40"/>
    </w:rPr>
  </w:style>
  <w:style w:type="character" w:customStyle="1" w:styleId="style71">
    <w:name w:val="style71"/>
    <w:rsid w:val="00D90A40"/>
    <w:rPr>
      <w:rFonts w:ascii="Georgia" w:hAnsi="Georgia" w:hint="default"/>
    </w:rPr>
  </w:style>
  <w:style w:type="paragraph" w:styleId="Revision">
    <w:name w:val="Revision"/>
    <w:hidden/>
    <w:uiPriority w:val="99"/>
    <w:semiHidden/>
    <w:rsid w:val="00D90A40"/>
    <w:rPr>
      <w:rFonts w:ascii="Arial" w:eastAsia="MS Mincho" w:hAnsi="Arial"/>
      <w:sz w:val="24"/>
      <w:szCs w:val="24"/>
    </w:rPr>
  </w:style>
  <w:style w:type="character" w:customStyle="1" w:styleId="st">
    <w:name w:val="st"/>
    <w:rsid w:val="00F82635"/>
  </w:style>
  <w:style w:type="paragraph" w:customStyle="1" w:styleId="Default">
    <w:name w:val="Default"/>
    <w:rsid w:val="005D7BFA"/>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qFormat="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uiPriority="20"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uiPriority="99"/>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433D07"/>
    <w:pPr>
      <w:tabs>
        <w:tab w:val="left" w:pos="1202"/>
        <w:tab w:val="right" w:leader="dot" w:pos="9060"/>
      </w:tabs>
      <w:spacing w:before="0"/>
      <w:ind w:left="1202" w:hanging="720"/>
    </w:pPr>
    <w:rPr>
      <w:rFonts w:cs="Arial"/>
      <w:i/>
      <w:noProof/>
      <w:sz w:val="22"/>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433D07"/>
    <w:pPr>
      <w:tabs>
        <w:tab w:val="right" w:leader="dot" w:pos="9060"/>
      </w:tabs>
      <w:ind w:left="720" w:hanging="720"/>
    </w:pPr>
    <w:rPr>
      <w:b/>
      <w:noProof/>
    </w:rPr>
  </w:style>
  <w:style w:type="paragraph" w:styleId="TOC2">
    <w:name w:val="toc 2"/>
    <w:basedOn w:val="Normal"/>
    <w:next w:val="Normal"/>
    <w:autoRedefine/>
    <w:uiPriority w:val="39"/>
    <w:qFormat/>
    <w:locked/>
    <w:rsid w:val="000F3A4C"/>
    <w:pPr>
      <w:tabs>
        <w:tab w:val="right" w:leader="dot" w:pos="9060"/>
      </w:tabs>
      <w:spacing w:before="0" w:after="120"/>
      <w:ind w:left="958" w:hanging="720"/>
    </w:pPr>
    <w:rPr>
      <w:b/>
      <w:i/>
      <w:noProof/>
      <w:sz w:val="22"/>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Char"/>
    <w:basedOn w:val="Normal"/>
    <w:link w:val="FootnoteTextChar"/>
    <w:qFormat/>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uiPriority w:val="99"/>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1,No Spacing11"/>
    <w:basedOn w:val="Normal"/>
    <w:link w:val="SubmissionNormalChar"/>
    <w:qFormat/>
    <w:rsid w:val="00B34946"/>
    <w:pPr>
      <w:numPr>
        <w:numId w:val="15"/>
      </w:numPr>
    </w:pPr>
    <w:rPr>
      <w:rFonts w:eastAsia="Times New Roman"/>
    </w:rPr>
  </w:style>
  <w:style w:type="character" w:customStyle="1" w:styleId="SubmissionNormalChar">
    <w:name w:val="Submission Normal Char"/>
    <w:aliases w:val="No Spacing Char,No Spacing1 Char,No Spacing11 Char,No Spacing2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 w:type="numbering" w:customStyle="1" w:styleId="StyleNumbered">
    <w:name w:val="Style Numbered"/>
    <w:basedOn w:val="NoList"/>
    <w:semiHidden/>
    <w:rsid w:val="00D90A40"/>
    <w:pPr>
      <w:numPr>
        <w:numId w:val="17"/>
      </w:numPr>
    </w:pPr>
  </w:style>
  <w:style w:type="paragraph" w:customStyle="1" w:styleId="Contactdetails">
    <w:name w:val="Contact details"/>
    <w:basedOn w:val="Normal"/>
    <w:semiHidden/>
    <w:rsid w:val="00D90A40"/>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semiHidden/>
    <w:locked/>
    <w:rsid w:val="00D90A40"/>
    <w:rPr>
      <w:rFonts w:ascii="Arial" w:hAnsi="Arial"/>
      <w:bCs/>
      <w:i/>
      <w:sz w:val="24"/>
      <w:szCs w:val="26"/>
      <w:lang w:val="en-AU" w:eastAsia="en-AU" w:bidi="ar-SA"/>
    </w:rPr>
  </w:style>
  <w:style w:type="character" w:customStyle="1" w:styleId="CharChar8">
    <w:name w:val="Char Char8"/>
    <w:semiHidden/>
    <w:locked/>
    <w:rsid w:val="00D90A40"/>
    <w:rPr>
      <w:rFonts w:ascii="Arial" w:hAnsi="Arial"/>
      <w:iCs/>
      <w:sz w:val="24"/>
      <w:szCs w:val="26"/>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C Char"/>
    <w:link w:val="FootnoteText"/>
    <w:locked/>
    <w:rsid w:val="00D90A40"/>
    <w:rPr>
      <w:rFonts w:ascii="Arial" w:eastAsia="MS Mincho" w:hAnsi="Arial"/>
    </w:rPr>
  </w:style>
  <w:style w:type="paragraph" w:styleId="ListParagraph">
    <w:name w:val="List Paragraph"/>
    <w:basedOn w:val="Normal"/>
    <w:uiPriority w:val="34"/>
    <w:qFormat/>
    <w:rsid w:val="00D90A40"/>
    <w:pPr>
      <w:ind w:left="720"/>
      <w:contextualSpacing/>
    </w:pPr>
  </w:style>
  <w:style w:type="character" w:styleId="CommentReference">
    <w:name w:val="annotation reference"/>
    <w:locked/>
    <w:rsid w:val="00D90A40"/>
    <w:rPr>
      <w:sz w:val="16"/>
      <w:szCs w:val="16"/>
    </w:rPr>
  </w:style>
  <w:style w:type="paragraph" w:styleId="CommentText">
    <w:name w:val="annotation text"/>
    <w:basedOn w:val="Normal"/>
    <w:link w:val="CommentTextChar"/>
    <w:locked/>
    <w:rsid w:val="00D90A40"/>
    <w:rPr>
      <w:sz w:val="20"/>
      <w:szCs w:val="20"/>
    </w:rPr>
  </w:style>
  <w:style w:type="character" w:customStyle="1" w:styleId="CommentTextChar">
    <w:name w:val="Comment Text Char"/>
    <w:basedOn w:val="DefaultParagraphFont"/>
    <w:link w:val="CommentText"/>
    <w:rsid w:val="00D90A40"/>
    <w:rPr>
      <w:rFonts w:ascii="Arial" w:eastAsia="MS Mincho" w:hAnsi="Arial"/>
    </w:rPr>
  </w:style>
  <w:style w:type="character" w:customStyle="1" w:styleId="sb8d990e2">
    <w:name w:val="sb8d990e2"/>
    <w:rsid w:val="00D90A40"/>
  </w:style>
  <w:style w:type="paragraph" w:styleId="CommentSubject">
    <w:name w:val="annotation subject"/>
    <w:basedOn w:val="CommentText"/>
    <w:next w:val="CommentText"/>
    <w:link w:val="CommentSubjectChar"/>
    <w:locked/>
    <w:rsid w:val="00D90A40"/>
    <w:rPr>
      <w:b/>
      <w:bCs/>
    </w:rPr>
  </w:style>
  <w:style w:type="character" w:customStyle="1" w:styleId="CommentSubjectChar">
    <w:name w:val="Comment Subject Char"/>
    <w:basedOn w:val="CommentTextChar"/>
    <w:link w:val="CommentSubject"/>
    <w:rsid w:val="00D90A40"/>
    <w:rPr>
      <w:rFonts w:ascii="Arial" w:eastAsia="MS Mincho" w:hAnsi="Arial"/>
      <w:b/>
      <w:bCs/>
    </w:rPr>
  </w:style>
  <w:style w:type="character" w:customStyle="1" w:styleId="SubmissionnormalChar0">
    <w:name w:val="Submission normal Char"/>
    <w:link w:val="Submissionnormal0"/>
    <w:locked/>
    <w:rsid w:val="00D90A40"/>
    <w:rPr>
      <w:rFonts w:ascii="Arial" w:hAnsi="Arial" w:cs="Arial"/>
    </w:rPr>
  </w:style>
  <w:style w:type="paragraph" w:customStyle="1" w:styleId="Submissionnormal0">
    <w:name w:val="Submission normal"/>
    <w:basedOn w:val="Normal"/>
    <w:link w:val="SubmissionnormalChar0"/>
    <w:rsid w:val="00D90A40"/>
    <w:pPr>
      <w:tabs>
        <w:tab w:val="num" w:pos="360"/>
      </w:tabs>
    </w:pPr>
    <w:rPr>
      <w:rFonts w:eastAsia="Times New Roman" w:cs="Arial"/>
      <w:sz w:val="20"/>
      <w:szCs w:val="20"/>
    </w:rPr>
  </w:style>
  <w:style w:type="paragraph" w:styleId="NoSpacing">
    <w:name w:val="No Spacing"/>
    <w:aliases w:val="No Spacing2"/>
    <w:basedOn w:val="Normal"/>
    <w:qFormat/>
    <w:rsid w:val="00D90A40"/>
    <w:pPr>
      <w:tabs>
        <w:tab w:val="num" w:pos="720"/>
      </w:tabs>
      <w:ind w:left="720" w:hanging="360"/>
    </w:pPr>
    <w:rPr>
      <w:rFonts w:eastAsia="Times New Roman" w:cs="Arial"/>
    </w:rPr>
  </w:style>
  <w:style w:type="paragraph" w:styleId="Quote">
    <w:name w:val="Quote"/>
    <w:basedOn w:val="Normal"/>
    <w:next w:val="Normal"/>
    <w:link w:val="QuoteChar"/>
    <w:uiPriority w:val="99"/>
    <w:qFormat/>
    <w:rsid w:val="00D90A40"/>
    <w:rPr>
      <w:i/>
      <w:iCs/>
      <w:color w:val="000000"/>
    </w:rPr>
  </w:style>
  <w:style w:type="character" w:customStyle="1" w:styleId="QuoteChar">
    <w:name w:val="Quote Char"/>
    <w:basedOn w:val="DefaultParagraphFont"/>
    <w:link w:val="Quote"/>
    <w:uiPriority w:val="99"/>
    <w:rsid w:val="00D90A40"/>
    <w:rPr>
      <w:rFonts w:ascii="Arial" w:eastAsia="MS Mincho" w:hAnsi="Arial"/>
      <w:i/>
      <w:iCs/>
      <w:color w:val="000000"/>
      <w:sz w:val="24"/>
      <w:szCs w:val="24"/>
    </w:rPr>
  </w:style>
  <w:style w:type="character" w:customStyle="1" w:styleId="legtitle1">
    <w:name w:val="legtitle1"/>
    <w:rsid w:val="00D90A40"/>
    <w:rPr>
      <w:rFonts w:ascii="Arial" w:hAnsi="Arial" w:cs="Arial" w:hint="default"/>
      <w:b/>
      <w:bCs/>
      <w:color w:val="10418E"/>
      <w:sz w:val="40"/>
      <w:szCs w:val="40"/>
    </w:rPr>
  </w:style>
  <w:style w:type="character" w:customStyle="1" w:styleId="style71">
    <w:name w:val="style71"/>
    <w:rsid w:val="00D90A40"/>
    <w:rPr>
      <w:rFonts w:ascii="Georgia" w:hAnsi="Georgia" w:hint="default"/>
    </w:rPr>
  </w:style>
  <w:style w:type="paragraph" w:styleId="Revision">
    <w:name w:val="Revision"/>
    <w:hidden/>
    <w:uiPriority w:val="99"/>
    <w:semiHidden/>
    <w:rsid w:val="00D90A40"/>
    <w:rPr>
      <w:rFonts w:ascii="Arial" w:eastAsia="MS Mincho" w:hAnsi="Arial"/>
      <w:sz w:val="24"/>
      <w:szCs w:val="24"/>
    </w:rPr>
  </w:style>
  <w:style w:type="character" w:customStyle="1" w:styleId="st">
    <w:name w:val="st"/>
    <w:rsid w:val="00F82635"/>
  </w:style>
  <w:style w:type="paragraph" w:customStyle="1" w:styleId="Default">
    <w:name w:val="Default"/>
    <w:rsid w:val="005D7BF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754619091">
      <w:bodyDiv w:val="1"/>
      <w:marLeft w:val="0"/>
      <w:marRight w:val="0"/>
      <w:marTop w:val="0"/>
      <w:marBottom w:val="0"/>
      <w:divBdr>
        <w:top w:val="none" w:sz="0" w:space="0" w:color="auto"/>
        <w:left w:val="none" w:sz="0" w:space="0" w:color="auto"/>
        <w:bottom w:val="none" w:sz="0" w:space="0" w:color="auto"/>
        <w:right w:val="none" w:sz="0" w:space="0" w:color="auto"/>
      </w:divBdr>
    </w:div>
    <w:div w:id="188999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3" Type="http://schemas.openxmlformats.org/officeDocument/2006/relationships/hyperlink" Target="http://www.humanrights.gov.au/publications/consultation-protection-discrimination-basis-sexual-orientation-and-sex-andor-gender" TargetMode="External"/><Relationship Id="rId2" Type="http://schemas.openxmlformats.org/officeDocument/2006/relationships/hyperlink" Target="http://www.ag.gov.au/Consultations/Pages/NationalHumanRightsActionPlan.aspx" TargetMode="External"/><Relationship Id="rId1" Type="http://schemas.openxmlformats.org/officeDocument/2006/relationships/hyperlink" Target="http://www.humanrights.gov.au/sex-files-legal-recognition-concluding-paper-sex-and-gender-2009" TargetMode="External"/><Relationship Id="rId5" Type="http://schemas.openxmlformats.org/officeDocument/2006/relationships/hyperlink" Target="http://www.humanrights.gov.au/sex-files-legal-recognition-concluding-paper-sex-and-gender-2009" TargetMode="External"/><Relationship Id="rId4" Type="http://schemas.openxmlformats.org/officeDocument/2006/relationships/hyperlink" Target="http://www.ypinaction.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2104</Words>
  <Characters>12637</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14712</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2013-04-24T07:43:00Z</dcterms:created>
  <dcterms:modified xsi:type="dcterms:W3CDTF">2013-07-24T04:52:00Z</dcterms:modified>
</cp:coreProperties>
</file>