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0CC" w:rsidRPr="00B610CC" w:rsidRDefault="008240B1" w:rsidP="00B610CC">
      <w:pPr>
        <w:pStyle w:val="Title"/>
        <w:rPr>
          <w:b w:val="0"/>
          <w:color w:val="1F497D" w:themeColor="text2"/>
          <w:sz w:val="36"/>
          <w:szCs w:val="36"/>
        </w:rPr>
      </w:pPr>
      <w:r w:rsidRPr="00B610CC">
        <w:rPr>
          <w:color w:val="1F497D" w:themeColor="text2"/>
          <w:sz w:val="36"/>
          <w:szCs w:val="36"/>
        </w:rPr>
        <w:t xml:space="preserve">Factsheet: </w:t>
      </w:r>
      <w:r w:rsidR="00732CE4" w:rsidRPr="00B610CC">
        <w:rPr>
          <w:color w:val="1F497D" w:themeColor="text2"/>
          <w:sz w:val="36"/>
          <w:szCs w:val="36"/>
        </w:rPr>
        <w:t xml:space="preserve">Lesbian, gay, bisexual, </w:t>
      </w:r>
      <w:proofErr w:type="gramStart"/>
      <w:r w:rsidR="00732CE4" w:rsidRPr="00B610CC">
        <w:rPr>
          <w:color w:val="1F497D" w:themeColor="text2"/>
          <w:sz w:val="36"/>
          <w:szCs w:val="36"/>
        </w:rPr>
        <w:t>trans</w:t>
      </w:r>
      <w:proofErr w:type="gramEnd"/>
      <w:r w:rsidR="00732CE4" w:rsidRPr="00B610CC">
        <w:rPr>
          <w:color w:val="1F497D" w:themeColor="text2"/>
          <w:sz w:val="36"/>
          <w:szCs w:val="36"/>
        </w:rPr>
        <w:t>, gender diverse and intersex people (LGBTI/SOGII)</w:t>
      </w:r>
    </w:p>
    <w:p w:rsidR="00732CE4" w:rsidRPr="00B610CC" w:rsidRDefault="00732CE4" w:rsidP="00732CE4">
      <w:pPr>
        <w:rPr>
          <w:b/>
          <w:color w:val="1F497D" w:themeColor="text2"/>
          <w:sz w:val="28"/>
        </w:rPr>
      </w:pPr>
      <w:r w:rsidRPr="00B610CC">
        <w:rPr>
          <w:b/>
          <w:color w:val="1F497D" w:themeColor="text2"/>
          <w:sz w:val="28"/>
        </w:rPr>
        <w:t xml:space="preserve">Background </w:t>
      </w:r>
      <w:r w:rsidR="00D41D47" w:rsidRPr="00B610CC">
        <w:rPr>
          <w:b/>
          <w:color w:val="1F497D" w:themeColor="text2"/>
          <w:sz w:val="28"/>
        </w:rPr>
        <w:t>i</w:t>
      </w:r>
      <w:r w:rsidRPr="00B610CC">
        <w:rPr>
          <w:b/>
          <w:color w:val="1F497D" w:themeColor="text2"/>
          <w:sz w:val="28"/>
        </w:rPr>
        <w:t>nformation</w:t>
      </w:r>
    </w:p>
    <w:p w:rsidR="00732CE4" w:rsidRDefault="00732CE4" w:rsidP="00732CE4">
      <w:pPr>
        <w:rPr>
          <w:lang w:val="en-NZ"/>
        </w:rPr>
      </w:pPr>
      <w:r>
        <w:rPr>
          <w:lang w:val="en-NZ"/>
        </w:rPr>
        <w:t xml:space="preserve">The LGBTI community are a number of distinct groups with varying issues and experiences. </w:t>
      </w:r>
      <w:r w:rsidR="00BC5E7F">
        <w:rPr>
          <w:lang w:val="en-NZ"/>
        </w:rPr>
        <w:t xml:space="preserve">Research suggests that </w:t>
      </w:r>
      <w:r>
        <w:rPr>
          <w:lang w:val="en-NZ"/>
        </w:rPr>
        <w:t xml:space="preserve">LGBTI people </w:t>
      </w:r>
      <w:r w:rsidR="00BC5E7F">
        <w:rPr>
          <w:lang w:val="en-NZ"/>
        </w:rPr>
        <w:t>experience</w:t>
      </w:r>
      <w:r w:rsidR="0042024B">
        <w:rPr>
          <w:lang w:val="en-NZ"/>
        </w:rPr>
        <w:t xml:space="preserve"> higher than average rates of violence, harassment and bullying.</w:t>
      </w:r>
      <w:r w:rsidR="0042024B">
        <w:rPr>
          <w:rStyle w:val="EndnoteReference"/>
          <w:lang w:val="en-NZ"/>
        </w:rPr>
        <w:endnoteReference w:id="1"/>
      </w:r>
      <w:r>
        <w:rPr>
          <w:lang w:val="en-NZ"/>
        </w:rPr>
        <w:t xml:space="preserve"> </w:t>
      </w:r>
    </w:p>
    <w:p w:rsidR="00732CE4" w:rsidRPr="00DA4F91" w:rsidRDefault="00732CE4" w:rsidP="00732CE4">
      <w:r>
        <w:t xml:space="preserve">Educational resources like </w:t>
      </w:r>
      <w:proofErr w:type="spellStart"/>
      <w:r>
        <w:rPr>
          <w:i/>
        </w:rPr>
        <w:t>Sogi’s</w:t>
      </w:r>
      <w:proofErr w:type="spellEnd"/>
      <w:r>
        <w:rPr>
          <w:i/>
        </w:rPr>
        <w:t xml:space="preserve"> Story</w:t>
      </w:r>
      <w:r>
        <w:t xml:space="preserve"> have been developed which encourage learning and awareness of issues a</w:t>
      </w:r>
      <w:bookmarkStart w:id="0" w:name="_GoBack"/>
      <w:bookmarkEnd w:id="0"/>
      <w:r>
        <w:t>round sexual orientation and gender identity.</w:t>
      </w:r>
      <w:r w:rsidR="00FC1C47">
        <w:rPr>
          <w:rStyle w:val="EndnoteReference"/>
        </w:rPr>
        <w:endnoteReference w:id="2"/>
      </w:r>
    </w:p>
    <w:p w:rsidR="00732CE4" w:rsidRPr="00B610CC" w:rsidRDefault="00732CE4" w:rsidP="00732CE4">
      <w:pPr>
        <w:rPr>
          <w:b/>
          <w:color w:val="1F497D" w:themeColor="text2"/>
          <w:sz w:val="28"/>
        </w:rPr>
      </w:pPr>
      <w:r w:rsidRPr="00B610CC">
        <w:rPr>
          <w:b/>
          <w:color w:val="1F497D" w:themeColor="text2"/>
          <w:sz w:val="28"/>
        </w:rPr>
        <w:t xml:space="preserve">Key </w:t>
      </w:r>
      <w:r w:rsidR="00D41D47" w:rsidRPr="00B610CC">
        <w:rPr>
          <w:b/>
          <w:color w:val="1F497D" w:themeColor="text2"/>
          <w:sz w:val="28"/>
        </w:rPr>
        <w:t>i</w:t>
      </w:r>
      <w:r w:rsidRPr="00B610CC">
        <w:rPr>
          <w:b/>
          <w:color w:val="1F497D" w:themeColor="text2"/>
          <w:sz w:val="28"/>
        </w:rPr>
        <w:t>ssue</w:t>
      </w:r>
      <w:r w:rsidR="00C76D13" w:rsidRPr="00B610CC">
        <w:rPr>
          <w:b/>
          <w:color w:val="1F497D" w:themeColor="text2"/>
          <w:sz w:val="28"/>
        </w:rPr>
        <w:t xml:space="preserve"> – </w:t>
      </w:r>
      <w:r w:rsidR="00932563" w:rsidRPr="00B610CC">
        <w:rPr>
          <w:b/>
          <w:color w:val="1F497D" w:themeColor="text2"/>
          <w:sz w:val="28"/>
        </w:rPr>
        <w:t>Anti-d</w:t>
      </w:r>
      <w:r w:rsidR="00C76D13" w:rsidRPr="00B610CC">
        <w:rPr>
          <w:b/>
          <w:color w:val="1F497D" w:themeColor="text2"/>
          <w:sz w:val="28"/>
        </w:rPr>
        <w:t xml:space="preserve">iscrimination </w:t>
      </w:r>
      <w:r w:rsidR="00932563" w:rsidRPr="00B610CC">
        <w:rPr>
          <w:b/>
          <w:color w:val="1F497D" w:themeColor="text2"/>
          <w:sz w:val="28"/>
        </w:rPr>
        <w:t>and exemptions</w:t>
      </w:r>
    </w:p>
    <w:p w:rsidR="00826AC5" w:rsidRPr="00932563" w:rsidRDefault="005E4EA0" w:rsidP="00732CE4">
      <w:r>
        <w:t xml:space="preserve">In 2011, </w:t>
      </w:r>
      <w:r w:rsidR="00826AC5" w:rsidRPr="00932563">
        <w:t xml:space="preserve">98 </w:t>
      </w:r>
      <w:r>
        <w:t>pieces of federal legislation</w:t>
      </w:r>
      <w:r w:rsidR="00826AC5" w:rsidRPr="00932563">
        <w:t xml:space="preserve"> were amended to remove discrimination towards same-sex couples and their children.</w:t>
      </w:r>
      <w:r w:rsidR="00826AC5" w:rsidRPr="00932563">
        <w:rPr>
          <w:rStyle w:val="EndnoteReference"/>
        </w:rPr>
        <w:endnoteReference w:id="3"/>
      </w:r>
      <w:r w:rsidRPr="005E4EA0">
        <w:rPr>
          <w:lang w:val="en-NZ"/>
        </w:rPr>
        <w:t xml:space="preserve"> </w:t>
      </w:r>
      <w:r w:rsidRPr="00932563">
        <w:rPr>
          <w:lang w:val="en-NZ"/>
        </w:rPr>
        <w:t xml:space="preserve">In 2013, the </w:t>
      </w:r>
      <w:r w:rsidRPr="00932563">
        <w:rPr>
          <w:rFonts w:cs="Arial"/>
          <w:i/>
        </w:rPr>
        <w:t>Sex Discrimination Act 1984</w:t>
      </w:r>
      <w:r w:rsidRPr="00932563">
        <w:rPr>
          <w:rFonts w:cs="Arial"/>
        </w:rPr>
        <w:t xml:space="preserve"> (Cth) </w:t>
      </w:r>
      <w:r w:rsidRPr="00932563">
        <w:rPr>
          <w:lang w:val="en-NZ"/>
        </w:rPr>
        <w:t xml:space="preserve">was amended to include the prohibition of </w:t>
      </w:r>
      <w:r w:rsidRPr="00932563">
        <w:t>discrimination on the basis of sexual orientation, gender identity and intersex status (SOGII).</w:t>
      </w:r>
      <w:r w:rsidRPr="00932563">
        <w:rPr>
          <w:rStyle w:val="EndnoteReference"/>
        </w:rPr>
        <w:endnoteReference w:id="4"/>
      </w:r>
    </w:p>
    <w:p w:rsidR="0096525D" w:rsidRPr="00932563" w:rsidRDefault="00826AC5" w:rsidP="00732CE4">
      <w:r w:rsidRPr="00932563">
        <w:t>Following these amendments, states were given until July 2014 to ensure that all laws were amended to be consistent with the new federal provisions. In July 2014, a 12 month extension to the exemption of state and territory anti-discrimination laws from the operation of the SDA. The exemption expires on 31 July 2015.</w:t>
      </w:r>
    </w:p>
    <w:p w:rsidR="00EB3F90" w:rsidRDefault="0096525D" w:rsidP="00732CE4">
      <w:r w:rsidRPr="00EB3F90">
        <w:t>The</w:t>
      </w:r>
      <w:r w:rsidR="00732CE4" w:rsidRPr="00EB3F90">
        <w:t xml:space="preserve"> </w:t>
      </w:r>
      <w:r w:rsidRPr="00EB3F90">
        <w:rPr>
          <w:rFonts w:cs="Arial"/>
          <w:i/>
        </w:rPr>
        <w:t>Sex Discrimination Act 1984</w:t>
      </w:r>
      <w:r w:rsidRPr="00EB3F90">
        <w:rPr>
          <w:rFonts w:cs="Arial"/>
        </w:rPr>
        <w:t xml:space="preserve"> </w:t>
      </w:r>
      <w:r w:rsidR="00932563" w:rsidRPr="00EB3F90">
        <w:t>include</w:t>
      </w:r>
      <w:r w:rsidR="005E4EA0">
        <w:t>s</w:t>
      </w:r>
      <w:r w:rsidR="00732CE4" w:rsidRPr="00EB3F90">
        <w:t xml:space="preserve"> exemptions </w:t>
      </w:r>
      <w:r w:rsidR="00932563" w:rsidRPr="00EB3F90">
        <w:t>that allow some clubs and religious service providers t</w:t>
      </w:r>
      <w:r w:rsidR="00732CE4" w:rsidRPr="00EB3F90">
        <w:t>o</w:t>
      </w:r>
      <w:r w:rsidR="00932563" w:rsidRPr="00EB3F90">
        <w:t xml:space="preserve"> discriminate against L</w:t>
      </w:r>
      <w:r w:rsidR="00732CE4" w:rsidRPr="00EB3F90">
        <w:t>GBTI people</w:t>
      </w:r>
      <w:r w:rsidR="00932563" w:rsidRPr="00EB3F90">
        <w:t xml:space="preserve"> in service provision, employment, education and sports.</w:t>
      </w:r>
      <w:r w:rsidR="00FC1C47" w:rsidRPr="00EB3F90">
        <w:rPr>
          <w:rStyle w:val="EndnoteReference"/>
        </w:rPr>
        <w:endnoteReference w:id="5"/>
      </w:r>
      <w:r w:rsidR="00DD1943" w:rsidRPr="00EB3F90">
        <w:t xml:space="preserve"> </w:t>
      </w:r>
      <w:r w:rsidR="00EB3F90" w:rsidRPr="00EB3F90">
        <w:t xml:space="preserve">The Human Rights Commissioner will establish a </w:t>
      </w:r>
      <w:r w:rsidR="00EB3F90" w:rsidRPr="00EB3F90">
        <w:rPr>
          <w:bCs/>
        </w:rPr>
        <w:t>religious freedom roundtable</w:t>
      </w:r>
      <w:r w:rsidR="00EB3F90">
        <w:rPr>
          <w:bCs/>
        </w:rPr>
        <w:t xml:space="preserve"> in late 2015 which will consider, in part, the scope </w:t>
      </w:r>
      <w:r w:rsidR="00EB3F90" w:rsidRPr="00EB3F90">
        <w:rPr>
          <w:bCs/>
        </w:rPr>
        <w:t xml:space="preserve">of exemptions to the </w:t>
      </w:r>
      <w:r w:rsidR="00EB3F90" w:rsidRPr="00EB3F90">
        <w:rPr>
          <w:bCs/>
          <w:i/>
          <w:iCs/>
        </w:rPr>
        <w:t xml:space="preserve">Sex Discrimination Act 1984 </w:t>
      </w:r>
      <w:r w:rsidR="00EB3F90" w:rsidRPr="00EB3F90">
        <w:rPr>
          <w:bCs/>
        </w:rPr>
        <w:t>(Cth) for service providers to LGBTI people</w:t>
      </w:r>
      <w:r w:rsidR="00EB3F90">
        <w:rPr>
          <w:bCs/>
        </w:rPr>
        <w:t>.</w:t>
      </w:r>
      <w:r w:rsidR="00EB3F90" w:rsidRPr="00EB3F90">
        <w:rPr>
          <w:bCs/>
        </w:rPr>
        <w:t xml:space="preserve"> </w:t>
      </w:r>
      <w:r w:rsidR="00EB3F90" w:rsidRPr="00EB3F90">
        <w:t xml:space="preserve"> </w:t>
      </w:r>
    </w:p>
    <w:p w:rsidR="00732CE4" w:rsidRPr="005B50F7" w:rsidRDefault="00732CE4" w:rsidP="00732CE4">
      <w:pPr>
        <w:rPr>
          <w:b/>
          <w:sz w:val="28"/>
        </w:rPr>
      </w:pPr>
      <w:r w:rsidRPr="00B610CC">
        <w:rPr>
          <w:b/>
          <w:color w:val="1F497D" w:themeColor="text2"/>
          <w:sz w:val="28"/>
        </w:rPr>
        <w:t>Recommendation</w:t>
      </w:r>
      <w:r w:rsidRPr="005B50F7">
        <w:rPr>
          <w:b/>
          <w:sz w:val="28"/>
        </w:rPr>
        <w:t xml:space="preserve"> </w:t>
      </w:r>
    </w:p>
    <w:p w:rsidR="006D1CAC" w:rsidRPr="0096525D" w:rsidRDefault="00932563" w:rsidP="0096525D">
      <w:pPr>
        <w:rPr>
          <w:b/>
          <w:i/>
          <w:lang w:val="en-NZ"/>
        </w:rPr>
      </w:pPr>
      <w:r>
        <w:rPr>
          <w:b/>
          <w:i/>
        </w:rPr>
        <w:t>St</w:t>
      </w:r>
      <w:r w:rsidR="00732CE4" w:rsidRPr="004362AA">
        <w:rPr>
          <w:b/>
          <w:i/>
        </w:rPr>
        <w:t>ate and territory laws be brought into</w:t>
      </w:r>
      <w:r>
        <w:rPr>
          <w:b/>
          <w:i/>
        </w:rPr>
        <w:t xml:space="preserve"> </w:t>
      </w:r>
      <w:r w:rsidR="00732CE4" w:rsidRPr="004362AA">
        <w:rPr>
          <w:b/>
          <w:i/>
        </w:rPr>
        <w:t>compliance with the Sex Discrimination Act 1984 (Cth).</w:t>
      </w:r>
    </w:p>
    <w:p w:rsidR="00732CE4" w:rsidRPr="00B610CC" w:rsidRDefault="00732CE4" w:rsidP="00732CE4">
      <w:pPr>
        <w:spacing w:before="0" w:after="0"/>
        <w:rPr>
          <w:b/>
          <w:color w:val="1F497D" w:themeColor="text2"/>
          <w:sz w:val="28"/>
        </w:rPr>
      </w:pPr>
      <w:r w:rsidRPr="00B610CC">
        <w:rPr>
          <w:b/>
          <w:color w:val="1F497D" w:themeColor="text2"/>
          <w:sz w:val="28"/>
        </w:rPr>
        <w:t xml:space="preserve">Key </w:t>
      </w:r>
      <w:r w:rsidR="00D41D47" w:rsidRPr="00B610CC">
        <w:rPr>
          <w:b/>
          <w:color w:val="1F497D" w:themeColor="text2"/>
          <w:sz w:val="28"/>
        </w:rPr>
        <w:t>i</w:t>
      </w:r>
      <w:r w:rsidRPr="00B610CC">
        <w:rPr>
          <w:b/>
          <w:color w:val="1F497D" w:themeColor="text2"/>
          <w:sz w:val="28"/>
        </w:rPr>
        <w:t>ssue</w:t>
      </w:r>
      <w:r w:rsidR="00C76D13" w:rsidRPr="00B610CC">
        <w:rPr>
          <w:b/>
          <w:color w:val="1F497D" w:themeColor="text2"/>
          <w:sz w:val="28"/>
        </w:rPr>
        <w:t xml:space="preserve"> – Historical convictions for homosexual acts</w:t>
      </w:r>
    </w:p>
    <w:p w:rsidR="0073322F" w:rsidRDefault="0013506B" w:rsidP="00EF1575">
      <w:r>
        <w:t>Consensual sexual activity between men is no longer illegal in Australia.</w:t>
      </w:r>
      <w:r w:rsidR="00BC5E7F">
        <w:t xml:space="preserve"> </w:t>
      </w:r>
      <w:r>
        <w:t>L</w:t>
      </w:r>
      <w:r w:rsidR="00BC5E7F">
        <w:t xml:space="preserve">egislation expunging historical criminal convictions for consensual homosexual </w:t>
      </w:r>
      <w:r>
        <w:t xml:space="preserve">sex </w:t>
      </w:r>
      <w:r w:rsidR="00EF1575">
        <w:t>has been passed in South Australia, New South Wales and Victoria. The remaining states and territories are yet to establish legislation for expunging these records. This leaves men with criminal records based on redundant legislation.</w:t>
      </w:r>
      <w:r w:rsidR="0073322F">
        <w:rPr>
          <w:rStyle w:val="EndnoteReference"/>
        </w:rPr>
        <w:endnoteReference w:id="6"/>
      </w:r>
      <w:r w:rsidR="00732CE4">
        <w:t xml:space="preserve"> </w:t>
      </w:r>
    </w:p>
    <w:p w:rsidR="00E01A6C" w:rsidRDefault="0073322F" w:rsidP="00732CE4">
      <w:pPr>
        <w:rPr>
          <w:b/>
          <w:sz w:val="28"/>
        </w:rPr>
      </w:pPr>
      <w:r>
        <w:lastRenderedPageBreak/>
        <w:t>T</w:t>
      </w:r>
      <w:r w:rsidR="00732CE4" w:rsidRPr="009D3C73">
        <w:t>he Australian Defence Force expunges these records on request.</w:t>
      </w:r>
      <w:r w:rsidR="00732CE4">
        <w:t xml:space="preserve"> </w:t>
      </w:r>
    </w:p>
    <w:p w:rsidR="00732CE4" w:rsidRPr="005B50F7" w:rsidRDefault="00732CE4" w:rsidP="00732CE4">
      <w:pPr>
        <w:rPr>
          <w:b/>
          <w:sz w:val="28"/>
        </w:rPr>
      </w:pPr>
      <w:r w:rsidRPr="00B610CC">
        <w:rPr>
          <w:b/>
          <w:color w:val="1F497D" w:themeColor="text2"/>
          <w:sz w:val="28"/>
        </w:rPr>
        <w:t>Recommendation</w:t>
      </w:r>
      <w:r w:rsidRPr="005B50F7">
        <w:rPr>
          <w:b/>
          <w:sz w:val="28"/>
        </w:rPr>
        <w:t xml:space="preserve"> </w:t>
      </w:r>
    </w:p>
    <w:p w:rsidR="00732CE4" w:rsidRPr="004140B3" w:rsidRDefault="00C40E71" w:rsidP="00732CE4">
      <w:pPr>
        <w:rPr>
          <w:b/>
          <w:i/>
        </w:rPr>
      </w:pPr>
      <w:r>
        <w:rPr>
          <w:b/>
          <w:i/>
        </w:rPr>
        <w:t>The Commission recommends that a</w:t>
      </w:r>
      <w:r w:rsidR="00732CE4" w:rsidRPr="004140B3">
        <w:rPr>
          <w:b/>
          <w:i/>
        </w:rPr>
        <w:t>ll jurisdictions pass legislation expunging historic criminal convictions for consensual homosexual sex.</w:t>
      </w:r>
    </w:p>
    <w:p w:rsidR="00732CE4" w:rsidRPr="00B610CC" w:rsidRDefault="00732CE4" w:rsidP="00732CE4">
      <w:pPr>
        <w:rPr>
          <w:b/>
          <w:color w:val="1F497D" w:themeColor="text2"/>
          <w:sz w:val="28"/>
        </w:rPr>
      </w:pPr>
      <w:r w:rsidRPr="00B610CC">
        <w:rPr>
          <w:b/>
          <w:color w:val="1F497D" w:themeColor="text2"/>
          <w:sz w:val="28"/>
        </w:rPr>
        <w:t xml:space="preserve">Key </w:t>
      </w:r>
      <w:r w:rsidR="00D41D47" w:rsidRPr="00B610CC">
        <w:rPr>
          <w:b/>
          <w:color w:val="1F497D" w:themeColor="text2"/>
          <w:sz w:val="28"/>
        </w:rPr>
        <w:t>i</w:t>
      </w:r>
      <w:r w:rsidRPr="00B610CC">
        <w:rPr>
          <w:b/>
          <w:color w:val="1F497D" w:themeColor="text2"/>
          <w:sz w:val="28"/>
        </w:rPr>
        <w:t>ssue</w:t>
      </w:r>
      <w:r w:rsidR="00C76D13" w:rsidRPr="00B610CC">
        <w:rPr>
          <w:b/>
          <w:color w:val="1F497D" w:themeColor="text2"/>
          <w:sz w:val="28"/>
        </w:rPr>
        <w:t xml:space="preserve"> – Marriage equality</w:t>
      </w:r>
    </w:p>
    <w:p w:rsidR="009E7C36" w:rsidRDefault="00732CE4" w:rsidP="00732CE4">
      <w:pPr>
        <w:rPr>
          <w:lang w:val="en-NZ"/>
        </w:rPr>
      </w:pPr>
      <w:r w:rsidRPr="004362AA">
        <w:rPr>
          <w:lang w:val="en-NZ"/>
        </w:rPr>
        <w:t xml:space="preserve">The </w:t>
      </w:r>
      <w:r w:rsidRPr="004362AA">
        <w:rPr>
          <w:i/>
          <w:lang w:val="en-NZ"/>
        </w:rPr>
        <w:t>Marriage Act 1961</w:t>
      </w:r>
      <w:r w:rsidRPr="004362AA">
        <w:rPr>
          <w:lang w:val="en-NZ"/>
        </w:rPr>
        <w:t xml:space="preserve"> (Cth) </w:t>
      </w:r>
      <w:r>
        <w:rPr>
          <w:lang w:val="en-NZ"/>
        </w:rPr>
        <w:t>defines marriage as ‘the union of a man and a woman</w:t>
      </w:r>
      <w:r w:rsidR="00FD7142">
        <w:rPr>
          <w:lang w:val="en-NZ"/>
        </w:rPr>
        <w:t xml:space="preserve"> to the exclusion of all others, voluntarily entered into for life</w:t>
      </w:r>
      <w:r>
        <w:rPr>
          <w:lang w:val="en-NZ"/>
        </w:rPr>
        <w:t xml:space="preserve">’. This law </w:t>
      </w:r>
      <w:r w:rsidRPr="004362AA">
        <w:rPr>
          <w:lang w:val="en-NZ"/>
        </w:rPr>
        <w:t xml:space="preserve">discriminates against same-sex couples and people with diverse sex and genders by denying them </w:t>
      </w:r>
      <w:r w:rsidR="00FD7142">
        <w:rPr>
          <w:lang w:val="en-NZ"/>
        </w:rPr>
        <w:t>access to the civil institution of marriage</w:t>
      </w:r>
      <w:r w:rsidRPr="004362AA">
        <w:rPr>
          <w:lang w:val="en-NZ"/>
        </w:rPr>
        <w:t>.</w:t>
      </w:r>
      <w:r>
        <w:rPr>
          <w:lang w:val="en-NZ"/>
        </w:rPr>
        <w:t xml:space="preserve"> </w:t>
      </w:r>
    </w:p>
    <w:p w:rsidR="009E7C36" w:rsidRDefault="009E7C36" w:rsidP="00732CE4">
      <w:r>
        <w:rPr>
          <w:lang w:val="en-NZ"/>
        </w:rPr>
        <w:t>D</w:t>
      </w:r>
      <w:r w:rsidR="00732CE4">
        <w:rPr>
          <w:lang w:val="en-NZ"/>
        </w:rPr>
        <w:t xml:space="preserve">e facto relationship status </w:t>
      </w:r>
      <w:r>
        <w:rPr>
          <w:lang w:val="en-NZ"/>
        </w:rPr>
        <w:t xml:space="preserve">does </w:t>
      </w:r>
      <w:r w:rsidR="00732CE4">
        <w:rPr>
          <w:lang w:val="en-NZ"/>
        </w:rPr>
        <w:t>afford legal rights similar to marriage</w:t>
      </w:r>
      <w:r>
        <w:rPr>
          <w:lang w:val="en-NZ"/>
        </w:rPr>
        <w:t>. However</w:t>
      </w:r>
      <w:r w:rsidR="00732CE4">
        <w:t>, establishing de facto</w:t>
      </w:r>
      <w:r w:rsidR="00732CE4" w:rsidRPr="000C0415">
        <w:t xml:space="preserve"> </w:t>
      </w:r>
      <w:r w:rsidR="00732CE4">
        <w:t>status</w:t>
      </w:r>
      <w:r w:rsidR="00732CE4" w:rsidRPr="000C0415">
        <w:t xml:space="preserve"> </w:t>
      </w:r>
      <w:r w:rsidR="00732CE4">
        <w:t xml:space="preserve">requires </w:t>
      </w:r>
      <w:r w:rsidR="00FD7142">
        <w:t xml:space="preserve">proof of a relationship, the status of which is </w:t>
      </w:r>
      <w:r w:rsidR="00732CE4">
        <w:t xml:space="preserve">decided by an independent </w:t>
      </w:r>
      <w:r w:rsidR="00FD7142">
        <w:t xml:space="preserve">third person (a </w:t>
      </w:r>
      <w:r w:rsidR="00732CE4">
        <w:t>judicial officer</w:t>
      </w:r>
      <w:r w:rsidR="00FD7142">
        <w:t>)</w:t>
      </w:r>
      <w:r w:rsidR="00732CE4">
        <w:t>.</w:t>
      </w:r>
      <w:r w:rsidR="00FD7142">
        <w:rPr>
          <w:rStyle w:val="EndnoteReference"/>
        </w:rPr>
        <w:endnoteReference w:id="7"/>
      </w:r>
      <w:r w:rsidR="00FC7847">
        <w:t xml:space="preserve"> </w:t>
      </w:r>
    </w:p>
    <w:p w:rsidR="00732CE4" w:rsidRDefault="009E7C36" w:rsidP="00732CE4">
      <w:pPr>
        <w:rPr>
          <w:lang w:val="en-NZ"/>
        </w:rPr>
      </w:pPr>
      <w:r>
        <w:rPr>
          <w:lang w:val="en-NZ"/>
        </w:rPr>
        <w:t xml:space="preserve">Where one partner to a </w:t>
      </w:r>
      <w:r w:rsidR="00732CE4" w:rsidRPr="00D8017D">
        <w:rPr>
          <w:lang w:val="en-NZ"/>
        </w:rPr>
        <w:t>marriage changes their gender</w:t>
      </w:r>
      <w:r>
        <w:rPr>
          <w:lang w:val="en-NZ"/>
        </w:rPr>
        <w:t xml:space="preserve">, they are </w:t>
      </w:r>
      <w:r w:rsidR="00732CE4" w:rsidRPr="00D8017D">
        <w:rPr>
          <w:lang w:val="en-NZ"/>
        </w:rPr>
        <w:t>required to get divorced in order to</w:t>
      </w:r>
      <w:r w:rsidR="00732CE4">
        <w:rPr>
          <w:lang w:val="en-NZ"/>
        </w:rPr>
        <w:t xml:space="preserve"> </w:t>
      </w:r>
      <w:r w:rsidR="00732CE4" w:rsidRPr="00D8017D">
        <w:rPr>
          <w:lang w:val="en-NZ"/>
        </w:rPr>
        <w:t>amend their birth certificate.</w:t>
      </w:r>
      <w:r w:rsidR="00732CE4">
        <w:rPr>
          <w:lang w:val="en-NZ"/>
        </w:rPr>
        <w:t xml:space="preserve"> </w:t>
      </w:r>
      <w:r>
        <w:rPr>
          <w:lang w:val="en-NZ"/>
        </w:rPr>
        <w:t>S</w:t>
      </w:r>
      <w:r w:rsidR="00732CE4">
        <w:rPr>
          <w:lang w:val="en-NZ"/>
        </w:rPr>
        <w:t xml:space="preserve">ome </w:t>
      </w:r>
      <w:r w:rsidR="00732CE4" w:rsidRPr="00D8017D">
        <w:rPr>
          <w:lang w:val="en-NZ"/>
        </w:rPr>
        <w:t>couple</w:t>
      </w:r>
      <w:r w:rsidR="00732CE4">
        <w:rPr>
          <w:lang w:val="en-NZ"/>
        </w:rPr>
        <w:t>s</w:t>
      </w:r>
      <w:r w:rsidR="00732CE4" w:rsidRPr="00D8017D">
        <w:rPr>
          <w:lang w:val="en-NZ"/>
        </w:rPr>
        <w:t xml:space="preserve"> may be unable to access the institution of marriage if one partner is intersex and their birth certificate is absent a male or female sex marker.</w:t>
      </w:r>
      <w:r w:rsidR="00FC7847">
        <w:rPr>
          <w:rStyle w:val="EndnoteReference"/>
          <w:lang w:val="en-NZ"/>
        </w:rPr>
        <w:endnoteReference w:id="8"/>
      </w:r>
      <w:r w:rsidR="00732CE4">
        <w:rPr>
          <w:lang w:val="en-NZ"/>
        </w:rPr>
        <w:t xml:space="preserve"> </w:t>
      </w:r>
    </w:p>
    <w:p w:rsidR="00732CE4" w:rsidRPr="00B610CC" w:rsidRDefault="00732CE4" w:rsidP="00732CE4">
      <w:pPr>
        <w:rPr>
          <w:b/>
          <w:color w:val="1F497D" w:themeColor="text2"/>
          <w:sz w:val="28"/>
        </w:rPr>
      </w:pPr>
      <w:r w:rsidRPr="00B610CC">
        <w:rPr>
          <w:b/>
          <w:color w:val="1F497D" w:themeColor="text2"/>
          <w:sz w:val="28"/>
        </w:rPr>
        <w:t xml:space="preserve">Recommendation </w:t>
      </w:r>
    </w:p>
    <w:p w:rsidR="00732CE4" w:rsidRPr="004140B3" w:rsidRDefault="00C40E71" w:rsidP="00732CE4">
      <w:pPr>
        <w:rPr>
          <w:b/>
          <w:i/>
          <w:lang w:val="en-NZ"/>
        </w:rPr>
      </w:pPr>
      <w:r>
        <w:rPr>
          <w:b/>
          <w:i/>
          <w:lang w:val="en-NZ"/>
        </w:rPr>
        <w:t>The Commission recommends that t</w:t>
      </w:r>
      <w:r w:rsidR="00732CE4" w:rsidRPr="004140B3">
        <w:rPr>
          <w:b/>
          <w:i/>
          <w:lang w:val="en-NZ"/>
        </w:rPr>
        <w:t>he Australian Parliament legislate to provide marriage equality as a matter of priority.</w:t>
      </w:r>
    </w:p>
    <w:p w:rsidR="00732CE4" w:rsidRDefault="00732CE4" w:rsidP="00732CE4">
      <w:pPr>
        <w:rPr>
          <w:b/>
          <w:sz w:val="28"/>
        </w:rPr>
      </w:pPr>
      <w:r w:rsidRPr="005B50F7">
        <w:rPr>
          <w:b/>
          <w:sz w:val="28"/>
        </w:rPr>
        <w:t xml:space="preserve">Key </w:t>
      </w:r>
      <w:r w:rsidR="00D41D47">
        <w:rPr>
          <w:b/>
          <w:sz w:val="28"/>
        </w:rPr>
        <w:t>i</w:t>
      </w:r>
      <w:r w:rsidRPr="005B50F7">
        <w:rPr>
          <w:b/>
          <w:sz w:val="28"/>
        </w:rPr>
        <w:t>ssue</w:t>
      </w:r>
      <w:r w:rsidR="00C76D13">
        <w:rPr>
          <w:b/>
          <w:sz w:val="28"/>
        </w:rPr>
        <w:t xml:space="preserve"> – Surgical intervention of intersex infants</w:t>
      </w:r>
    </w:p>
    <w:p w:rsidR="00732CE4" w:rsidRDefault="00732CE4" w:rsidP="00732CE4">
      <w:r>
        <w:rPr>
          <w:lang w:val="en-NZ"/>
        </w:rPr>
        <w:t xml:space="preserve">Infants with intersex characteristics often face non-essential intervention where they are surgically assigned to a particular sex. </w:t>
      </w:r>
      <w:r w:rsidRPr="00B243DD">
        <w:rPr>
          <w:lang w:val="en-NZ"/>
        </w:rPr>
        <w:t>The rationale for this procedure is generally based on psychosocial reasoning such as minimising family concern</w:t>
      </w:r>
      <w:r>
        <w:rPr>
          <w:lang w:val="en-NZ"/>
        </w:rPr>
        <w:t>s or</w:t>
      </w:r>
      <w:r w:rsidRPr="00B243DD">
        <w:rPr>
          <w:lang w:val="en-NZ"/>
        </w:rPr>
        <w:t xml:space="preserve"> </w:t>
      </w:r>
      <w:r>
        <w:rPr>
          <w:lang w:val="en-NZ"/>
        </w:rPr>
        <w:t xml:space="preserve">reducing confusion around </w:t>
      </w:r>
      <w:r w:rsidRPr="00B243DD">
        <w:rPr>
          <w:lang w:val="en-NZ"/>
        </w:rPr>
        <w:t>gender</w:t>
      </w:r>
      <w:r>
        <w:rPr>
          <w:lang w:val="en-NZ"/>
        </w:rPr>
        <w:t xml:space="preserve"> </w:t>
      </w:r>
      <w:r w:rsidRPr="00B243DD">
        <w:rPr>
          <w:lang w:val="en-NZ"/>
        </w:rPr>
        <w:t>identity.</w:t>
      </w:r>
      <w:r>
        <w:rPr>
          <w:lang w:val="en-NZ"/>
        </w:rPr>
        <w:t xml:space="preserve"> These children may not have the opportunity to express their gender identity or may later face psychological damage due to an incorrect imposition of sex and gender.</w:t>
      </w:r>
      <w:r w:rsidR="00FC7847" w:rsidRPr="00FC7847">
        <w:rPr>
          <w:rStyle w:val="EndnoteReference"/>
          <w:lang w:val="en-NZ"/>
        </w:rPr>
        <w:t xml:space="preserve"> </w:t>
      </w:r>
      <w:r w:rsidR="00FC7847">
        <w:rPr>
          <w:rStyle w:val="EndnoteReference"/>
          <w:lang w:val="en-NZ"/>
        </w:rPr>
        <w:endnoteReference w:id="9"/>
      </w:r>
    </w:p>
    <w:p w:rsidR="00732CE4" w:rsidRPr="00B610CC" w:rsidRDefault="00732CE4" w:rsidP="00732CE4">
      <w:pPr>
        <w:rPr>
          <w:b/>
          <w:color w:val="1F497D" w:themeColor="text2"/>
          <w:sz w:val="28"/>
        </w:rPr>
      </w:pPr>
      <w:r w:rsidRPr="00B610CC">
        <w:rPr>
          <w:b/>
          <w:color w:val="1F497D" w:themeColor="text2"/>
          <w:sz w:val="28"/>
        </w:rPr>
        <w:t xml:space="preserve">Recommendation </w:t>
      </w:r>
    </w:p>
    <w:p w:rsidR="00E01A6C" w:rsidRDefault="00C40E71" w:rsidP="00732CE4">
      <w:pPr>
        <w:rPr>
          <w:b/>
          <w:i/>
          <w:lang w:val="en-NZ"/>
        </w:rPr>
      </w:pPr>
      <w:r>
        <w:rPr>
          <w:b/>
          <w:i/>
          <w:lang w:val="en-NZ"/>
        </w:rPr>
        <w:t xml:space="preserve">The Commission recommends that </w:t>
      </w:r>
      <w:r w:rsidR="00732CE4" w:rsidRPr="004140B3">
        <w:rPr>
          <w:b/>
          <w:i/>
          <w:lang w:val="en-NZ"/>
        </w:rPr>
        <w:t>Government conduct an inquiry into the issue of surgical intervention on intersex infants.</w:t>
      </w:r>
    </w:p>
    <w:p w:rsidR="00B610CC" w:rsidRDefault="00B610CC" w:rsidP="00732CE4">
      <w:pPr>
        <w:rPr>
          <w:b/>
          <w:i/>
          <w:lang w:val="en-NZ"/>
        </w:rPr>
      </w:pPr>
    </w:p>
    <w:p w:rsidR="00732CE4" w:rsidRDefault="00732CE4" w:rsidP="00B610CC">
      <w:pPr>
        <w:rPr>
          <w:b/>
          <w:i/>
          <w:lang w:val="en-NZ"/>
        </w:rPr>
      </w:pPr>
    </w:p>
    <w:p w:rsidR="00B610CC" w:rsidRDefault="00B610CC" w:rsidP="00B610CC">
      <w:pPr>
        <w:rPr>
          <w:b/>
          <w:i/>
          <w:lang w:val="en-NZ"/>
        </w:rPr>
      </w:pPr>
    </w:p>
    <w:p w:rsidR="00B610CC" w:rsidRDefault="00B610CC" w:rsidP="00B610CC">
      <w:pPr>
        <w:rPr>
          <w:b/>
          <w:i/>
          <w:lang w:val="en-NZ"/>
        </w:rPr>
      </w:pPr>
    </w:p>
    <w:p w:rsidR="00B610CC" w:rsidRDefault="00B610CC" w:rsidP="00B610CC">
      <w:pPr>
        <w:rPr>
          <w:b/>
          <w:i/>
          <w:lang w:val="en-NZ"/>
        </w:rPr>
      </w:pPr>
    </w:p>
    <w:p w:rsidR="00B610CC" w:rsidRDefault="00B610CC" w:rsidP="00B610CC">
      <w:pPr>
        <w:rPr>
          <w:b/>
          <w:i/>
          <w:lang w:val="en-NZ"/>
        </w:rPr>
      </w:pPr>
    </w:p>
    <w:p w:rsidR="00B610CC" w:rsidRPr="004140B3" w:rsidRDefault="00B610CC" w:rsidP="00B610CC">
      <w:pPr>
        <w:rPr>
          <w:b/>
          <w:i/>
          <w:lang w:val="en-NZ"/>
        </w:rPr>
      </w:pPr>
    </w:p>
    <w:sectPr w:rsidR="00B610CC" w:rsidRPr="004140B3" w:rsidSect="00C76D13">
      <w:footerReference w:type="default" r:id="rId8"/>
      <w:headerReference w:type="first" r:id="rId9"/>
      <w:footerReference w:type="first" r:id="rId10"/>
      <w:endnotePr>
        <w:numFmt w:val="decimal"/>
      </w:endnotePr>
      <w:pgSz w:w="11906" w:h="16838" w:code="9"/>
      <w:pgMar w:top="851" w:right="1418" w:bottom="1531" w:left="1418" w:header="17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E4" w:rsidRDefault="00732CE4" w:rsidP="00F14C6D">
      <w:r>
        <w:separator/>
      </w:r>
    </w:p>
  </w:endnote>
  <w:endnote w:type="continuationSeparator" w:id="0">
    <w:p w:rsidR="00732CE4" w:rsidRDefault="00732CE4" w:rsidP="00F14C6D">
      <w:r>
        <w:continuationSeparator/>
      </w:r>
    </w:p>
  </w:endnote>
  <w:endnote w:id="1">
    <w:p w:rsidR="0042024B" w:rsidRDefault="0042024B">
      <w:pPr>
        <w:pStyle w:val="EndnoteText"/>
      </w:pPr>
      <w:r>
        <w:rPr>
          <w:rStyle w:val="EndnoteReference"/>
        </w:rPr>
        <w:endnoteRef/>
      </w:r>
      <w:r>
        <w:t xml:space="preserve"> </w:t>
      </w:r>
      <w:r w:rsidRPr="0042024B">
        <w:t xml:space="preserve">W Leonard, M Pitts, A Mitchell, A Lyons, A Smith, S Patel, M Couch and A Barrett, </w:t>
      </w:r>
      <w:r w:rsidRPr="0042024B">
        <w:rPr>
          <w:i/>
        </w:rPr>
        <w:t>Private Lives 2: The second national survey of the health and wellbeing of gay, lesbian, bisexual and transgender</w:t>
      </w:r>
      <w:r w:rsidRPr="0042024B">
        <w:t xml:space="preserve"> </w:t>
      </w:r>
      <w:r w:rsidRPr="0042024B">
        <w:rPr>
          <w:i/>
        </w:rPr>
        <w:t>(GLBT) Australians</w:t>
      </w:r>
      <w:r w:rsidRPr="0042024B">
        <w:t>, Monograph Series Number 86, (The Australian Research Centre in Sex, Health &amp; Society, La Trobe University, 2012).</w:t>
      </w:r>
    </w:p>
  </w:endnote>
  <w:endnote w:id="2">
    <w:p w:rsidR="00FC1C47" w:rsidRDefault="00FC1C47">
      <w:pPr>
        <w:pStyle w:val="EndnoteText"/>
      </w:pPr>
      <w:r>
        <w:rPr>
          <w:rStyle w:val="EndnoteReference"/>
        </w:rPr>
        <w:endnoteRef/>
      </w:r>
      <w:r>
        <w:t xml:space="preserve"> Commonwealth Forum of National Human Rights Institutions, </w:t>
      </w:r>
      <w:proofErr w:type="spellStart"/>
      <w:r w:rsidRPr="00FC1C47">
        <w:rPr>
          <w:i/>
        </w:rPr>
        <w:t>Sogi’s</w:t>
      </w:r>
      <w:proofErr w:type="spellEnd"/>
      <w:r w:rsidRPr="00FC1C47">
        <w:rPr>
          <w:i/>
        </w:rPr>
        <w:t xml:space="preserve"> Story</w:t>
      </w:r>
      <w:r>
        <w:t xml:space="preserve">. At </w:t>
      </w:r>
      <w:hyperlink r:id="rId1" w:history="1">
        <w:r w:rsidRPr="005F0BEF">
          <w:rPr>
            <w:rStyle w:val="Hyperlink"/>
          </w:rPr>
          <w:t>http://www.sogistory.com/main</w:t>
        </w:r>
      </w:hyperlink>
      <w:r>
        <w:t xml:space="preserve"> (viewed 22 June 2015)</w:t>
      </w:r>
    </w:p>
  </w:endnote>
  <w:endnote w:id="3">
    <w:p w:rsidR="00826AC5" w:rsidRDefault="00826AC5" w:rsidP="00826AC5">
      <w:pPr>
        <w:pStyle w:val="EndnoteText"/>
      </w:pPr>
      <w:r>
        <w:rPr>
          <w:rStyle w:val="EndnoteReference"/>
        </w:rPr>
        <w:endnoteRef/>
      </w:r>
      <w:r>
        <w:t xml:space="preserve"> Australian Human Rights Commission, </w:t>
      </w:r>
      <w:r w:rsidRPr="00826AC5">
        <w:rPr>
          <w:i/>
        </w:rPr>
        <w:t>Same Sex Same Entitlements Report (2008)</w:t>
      </w:r>
      <w:r>
        <w:t xml:space="preserve">. At: </w:t>
      </w:r>
      <w:r w:rsidR="00932563" w:rsidRPr="00932563">
        <w:t>https://www.humanrights.gov.au/our-work/sexual-orientation-sex-gender-identity/publications/same-sex-same-entitlements</w:t>
      </w:r>
      <w:r>
        <w:t xml:space="preserve"> (viewed 2</w:t>
      </w:r>
      <w:r w:rsidR="00932563">
        <w:t xml:space="preserve">4 June </w:t>
      </w:r>
      <w:r>
        <w:t>2015).</w:t>
      </w:r>
    </w:p>
  </w:endnote>
  <w:endnote w:id="4">
    <w:p w:rsidR="005E4EA0" w:rsidRDefault="005E4EA0" w:rsidP="005E4EA0">
      <w:pPr>
        <w:pStyle w:val="EndnoteText"/>
      </w:pPr>
      <w:r>
        <w:rPr>
          <w:rStyle w:val="EndnoteReference"/>
        </w:rPr>
        <w:endnoteRef/>
      </w:r>
      <w:r>
        <w:t xml:space="preserve"> </w:t>
      </w:r>
      <w:r w:rsidRPr="00840E6D">
        <w:rPr>
          <w:rFonts w:cs="Arial"/>
          <w:i/>
        </w:rPr>
        <w:t xml:space="preserve">Sex Discrimination Amendment (Sexual Orientation, Gender Identity and Intersex Status) Act 2013 </w:t>
      </w:r>
      <w:r w:rsidRPr="00840E6D">
        <w:rPr>
          <w:rFonts w:cs="Arial"/>
        </w:rPr>
        <w:t>(Cth).</w:t>
      </w:r>
    </w:p>
  </w:endnote>
  <w:endnote w:id="5">
    <w:p w:rsidR="00FC1C47" w:rsidRDefault="00FC1C47">
      <w:pPr>
        <w:pStyle w:val="EndnoteText"/>
      </w:pPr>
      <w:r>
        <w:rPr>
          <w:rStyle w:val="EndnoteReference"/>
        </w:rPr>
        <w:endnoteRef/>
      </w:r>
      <w:r>
        <w:t xml:space="preserve"> </w:t>
      </w:r>
      <w:r w:rsidRPr="00840E6D">
        <w:rPr>
          <w:rFonts w:cs="Arial"/>
          <w:i/>
        </w:rPr>
        <w:t>Sex Discrimination Act 1984</w:t>
      </w:r>
      <w:r w:rsidRPr="00840E6D">
        <w:rPr>
          <w:rFonts w:cs="Arial"/>
        </w:rPr>
        <w:t xml:space="preserve"> (Cth)</w:t>
      </w:r>
      <w:r>
        <w:rPr>
          <w:rFonts w:cs="Arial"/>
        </w:rPr>
        <w:t>.</w:t>
      </w:r>
    </w:p>
  </w:endnote>
  <w:endnote w:id="6">
    <w:p w:rsidR="0073322F" w:rsidRDefault="0073322F" w:rsidP="0073322F">
      <w:pPr>
        <w:pStyle w:val="EndnoteText"/>
      </w:pPr>
      <w:r>
        <w:rPr>
          <w:rStyle w:val="EndnoteReference"/>
        </w:rPr>
        <w:endnoteRef/>
      </w:r>
      <w:r>
        <w:t xml:space="preserve"> Australian Human Rights Commission, </w:t>
      </w:r>
      <w:r w:rsidRPr="001775E8">
        <w:rPr>
          <w:i/>
        </w:rPr>
        <w:t>Resilient Individuals: Sexual Orientation Gender Identity &amp; Intersex Rights 2015</w:t>
      </w:r>
      <w:r>
        <w:t xml:space="preserve">, p 64. At </w:t>
      </w:r>
      <w:hyperlink r:id="rId2" w:history="1">
        <w:r w:rsidRPr="005F0BEF">
          <w:rPr>
            <w:rStyle w:val="Hyperlink"/>
          </w:rPr>
          <w:t>https://www.humanrights.gov.au/our-work/sexual-orientation-sex-gender-identity/publications/resilient-individuals-sexual</w:t>
        </w:r>
      </w:hyperlink>
      <w:r>
        <w:t xml:space="preserve"> (viewed 22 June 2015).</w:t>
      </w:r>
    </w:p>
  </w:endnote>
  <w:endnote w:id="7">
    <w:p w:rsidR="00FD7142" w:rsidRDefault="00FD7142">
      <w:pPr>
        <w:pStyle w:val="EndnoteText"/>
      </w:pPr>
      <w:r>
        <w:rPr>
          <w:rStyle w:val="EndnoteReference"/>
        </w:rPr>
        <w:endnoteRef/>
      </w:r>
      <w:r>
        <w:t xml:space="preserve"> Australian Human Rights Commission, </w:t>
      </w:r>
      <w:r w:rsidRPr="001775E8">
        <w:rPr>
          <w:i/>
        </w:rPr>
        <w:t>Resilient Individuals: Sexual Orientation Gender Identity &amp; Intersex Rights 2015</w:t>
      </w:r>
      <w:r w:rsidR="00387489">
        <w:t>, p 23</w:t>
      </w:r>
      <w:r>
        <w:t xml:space="preserve">. </w:t>
      </w:r>
    </w:p>
  </w:endnote>
  <w:endnote w:id="8">
    <w:p w:rsidR="00FC7847" w:rsidRDefault="00FC7847">
      <w:pPr>
        <w:pStyle w:val="EndnoteText"/>
      </w:pPr>
      <w:r>
        <w:rPr>
          <w:rStyle w:val="EndnoteReference"/>
        </w:rPr>
        <w:endnoteRef/>
      </w:r>
      <w:r>
        <w:t xml:space="preserve"> Australian Human Rights Commission, </w:t>
      </w:r>
      <w:r w:rsidRPr="001775E8">
        <w:rPr>
          <w:i/>
        </w:rPr>
        <w:t>Resilient Individuals: Sexual Orientation Gender Identity &amp; Intersex Rights 2015</w:t>
      </w:r>
      <w:r>
        <w:t>, p 2</w:t>
      </w:r>
      <w:r w:rsidR="00387489">
        <w:t>4</w:t>
      </w:r>
      <w:r>
        <w:t xml:space="preserve">. </w:t>
      </w:r>
    </w:p>
  </w:endnote>
  <w:endnote w:id="9">
    <w:p w:rsidR="00FC7847" w:rsidRDefault="00FC7847" w:rsidP="00FC7847">
      <w:pPr>
        <w:pStyle w:val="EndnoteText"/>
      </w:pPr>
      <w:r>
        <w:rPr>
          <w:rStyle w:val="EndnoteReference"/>
        </w:rPr>
        <w:endnoteRef/>
      </w:r>
      <w:r>
        <w:t xml:space="preserve"> Australian Human Rights Commission, </w:t>
      </w:r>
      <w:r w:rsidRPr="001775E8">
        <w:rPr>
          <w:i/>
        </w:rPr>
        <w:t>Resilient Individuals: Sexual Orientation Gender Identity &amp; Intersex Rights 2015</w:t>
      </w:r>
      <w:r>
        <w:t xml:space="preserve">, p 57.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616417"/>
      <w:docPartObj>
        <w:docPartGallery w:val="Page Numbers (Bottom of Page)"/>
        <w:docPartUnique/>
      </w:docPartObj>
    </w:sdtPr>
    <w:sdtEndPr>
      <w:rPr>
        <w:noProof/>
      </w:rPr>
    </w:sdtEndPr>
    <w:sdtContent>
      <w:p w:rsidR="005916E1" w:rsidRDefault="005916E1">
        <w:pPr>
          <w:pStyle w:val="Footer"/>
          <w:jc w:val="right"/>
        </w:pPr>
        <w:r>
          <w:fldChar w:fldCharType="begin"/>
        </w:r>
        <w:r>
          <w:instrText xml:space="preserve"> PAGE   \* MERGEFORMAT </w:instrText>
        </w:r>
        <w:r>
          <w:fldChar w:fldCharType="separate"/>
        </w:r>
        <w:r w:rsidR="009B6DB6">
          <w:rPr>
            <w:noProof/>
          </w:rPr>
          <w:t>2</w:t>
        </w:r>
        <w:r>
          <w:rPr>
            <w:noProof/>
          </w:rPr>
          <w:fldChar w:fldCharType="end"/>
        </w:r>
      </w:p>
    </w:sdtContent>
  </w:sdt>
  <w:p w:rsidR="005916E1" w:rsidRDefault="005916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88736"/>
      <w:docPartObj>
        <w:docPartGallery w:val="Page Numbers (Bottom of Page)"/>
        <w:docPartUnique/>
      </w:docPartObj>
    </w:sdtPr>
    <w:sdtEndPr>
      <w:rPr>
        <w:noProof/>
      </w:rPr>
    </w:sdtEndPr>
    <w:sdtContent>
      <w:p w:rsidR="005916E1" w:rsidRDefault="005916E1">
        <w:pPr>
          <w:pStyle w:val="Footer"/>
          <w:jc w:val="right"/>
        </w:pPr>
        <w:r>
          <w:fldChar w:fldCharType="begin"/>
        </w:r>
        <w:r>
          <w:instrText xml:space="preserve"> PAGE   \* MERGEFORMAT </w:instrText>
        </w:r>
        <w:r>
          <w:fldChar w:fldCharType="separate"/>
        </w:r>
        <w:r w:rsidR="009B6DB6">
          <w:rPr>
            <w:noProof/>
          </w:rPr>
          <w:t>1</w:t>
        </w:r>
        <w:r>
          <w:rPr>
            <w:noProof/>
          </w:rPr>
          <w:fldChar w:fldCharType="end"/>
        </w:r>
      </w:p>
    </w:sdtContent>
  </w:sdt>
  <w:p w:rsidR="005916E1" w:rsidRDefault="005916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E4" w:rsidRDefault="00732CE4" w:rsidP="00F14C6D">
      <w:r>
        <w:separator/>
      </w:r>
    </w:p>
  </w:footnote>
  <w:footnote w:type="continuationSeparator" w:id="0">
    <w:p w:rsidR="00732CE4" w:rsidRDefault="00732CE4"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26" w:type="dxa"/>
      <w:tblLayout w:type="fixed"/>
      <w:tblLook w:val="00A0" w:firstRow="1" w:lastRow="0" w:firstColumn="1" w:lastColumn="0" w:noHBand="0" w:noVBand="0"/>
    </w:tblPr>
    <w:tblGrid>
      <w:gridCol w:w="3936"/>
      <w:gridCol w:w="1876"/>
      <w:gridCol w:w="3114"/>
    </w:tblGrid>
    <w:tr w:rsidR="00B639F4" w:rsidRPr="00B610CC" w:rsidTr="00AD40E8">
      <w:trPr>
        <w:trHeight w:val="1603"/>
      </w:trPr>
      <w:tc>
        <w:tcPr>
          <w:tcW w:w="3936" w:type="dxa"/>
        </w:tcPr>
        <w:p w:rsidR="00B639F4" w:rsidRPr="00B610CC" w:rsidRDefault="00B610CC" w:rsidP="00331013">
          <w:pPr>
            <w:pStyle w:val="Header"/>
            <w:tabs>
              <w:tab w:val="left" w:pos="4686"/>
              <w:tab w:val="left" w:pos="7088"/>
              <w:tab w:val="left" w:pos="7242"/>
            </w:tabs>
            <w:jc w:val="center"/>
            <w:rPr>
              <w:rFonts w:cs="ArialMT"/>
              <w:color w:val="000000"/>
              <w:spacing w:val="-20"/>
              <w:sz w:val="20"/>
              <w:szCs w:val="20"/>
              <w:lang w:val="en-US" w:eastAsia="en-US" w:bidi="en-US"/>
            </w:rPr>
          </w:pPr>
          <w:r>
            <w:rPr>
              <w:rFonts w:cs="ArialMT"/>
              <w:b/>
              <w:noProof/>
              <w:color w:val="000000"/>
              <w:spacing w:val="-20"/>
              <w:sz w:val="32"/>
            </w:rPr>
            <w:drawing>
              <wp:anchor distT="0" distB="0" distL="114300" distR="114300" simplePos="0" relativeHeight="251659264" behindDoc="0" locked="0" layoutInCell="1" allowOverlap="1" wp14:anchorId="4ADCEA8D" wp14:editId="181F0143">
                <wp:simplePos x="0" y="0"/>
                <wp:positionH relativeFrom="margin">
                  <wp:posOffset>68580</wp:posOffset>
                </wp:positionH>
                <wp:positionV relativeFrom="margin">
                  <wp:posOffset>476250</wp:posOffset>
                </wp:positionV>
                <wp:extent cx="2362200" cy="809625"/>
                <wp:effectExtent l="0" t="0" r="0" b="9525"/>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anchor>
            </w:drawing>
          </w:r>
        </w:p>
      </w:tc>
      <w:tc>
        <w:tcPr>
          <w:tcW w:w="1876" w:type="dxa"/>
          <w:vAlign w:val="center"/>
        </w:tcPr>
        <w:p w:rsidR="00B639F4" w:rsidRPr="00B610CC" w:rsidRDefault="00B639F4" w:rsidP="00B610CC">
          <w:pPr>
            <w:spacing w:before="0" w:after="0" w:line="210" w:lineRule="exact"/>
            <w:rPr>
              <w:rFonts w:cs="ArialMT"/>
              <w:i/>
              <w:color w:val="808080"/>
              <w:sz w:val="20"/>
              <w:szCs w:val="20"/>
              <w:lang w:val="en-US" w:eastAsia="en-US" w:bidi="en-US"/>
            </w:rPr>
          </w:pPr>
        </w:p>
      </w:tc>
      <w:tc>
        <w:tcPr>
          <w:tcW w:w="3114" w:type="dxa"/>
        </w:tcPr>
        <w:p w:rsidR="00B639F4" w:rsidRPr="00B610CC" w:rsidRDefault="00B639F4" w:rsidP="00C87F1C">
          <w:pPr>
            <w:pStyle w:val="HeaderFooter"/>
            <w:spacing w:before="0" w:after="0"/>
            <w:jc w:val="both"/>
            <w:rPr>
              <w:color w:val="000000"/>
              <w:spacing w:val="-20"/>
              <w:sz w:val="20"/>
              <w:szCs w:val="20"/>
              <w:lang w:val="en-US" w:eastAsia="en-US" w:bidi="en-US"/>
            </w:rPr>
          </w:pPr>
        </w:p>
        <w:p w:rsidR="00B610CC" w:rsidRPr="00B610CC" w:rsidRDefault="00B610CC" w:rsidP="00C87F1C">
          <w:pPr>
            <w:pStyle w:val="HeaderFooter"/>
            <w:spacing w:before="0" w:after="0"/>
            <w:jc w:val="both"/>
            <w:rPr>
              <w:color w:val="000000"/>
              <w:spacing w:val="-20"/>
              <w:sz w:val="20"/>
              <w:szCs w:val="20"/>
              <w:lang w:val="en-US" w:eastAsia="en-US" w:bidi="en-US"/>
            </w:rPr>
          </w:pPr>
        </w:p>
        <w:p w:rsidR="00B610CC" w:rsidRPr="00B610CC" w:rsidRDefault="00B610CC" w:rsidP="00C87F1C">
          <w:pPr>
            <w:pStyle w:val="HeaderFooter"/>
            <w:spacing w:before="0" w:after="0"/>
            <w:jc w:val="both"/>
            <w:rPr>
              <w:color w:val="000000"/>
              <w:spacing w:val="-20"/>
              <w:sz w:val="20"/>
              <w:szCs w:val="20"/>
              <w:lang w:val="en-US" w:eastAsia="en-US" w:bidi="en-US"/>
            </w:rPr>
          </w:pPr>
        </w:p>
        <w:p w:rsidR="00B610CC" w:rsidRPr="00B610CC" w:rsidRDefault="00B610CC" w:rsidP="00C87F1C">
          <w:pPr>
            <w:pStyle w:val="HeaderFooter"/>
            <w:spacing w:before="0" w:after="0"/>
            <w:jc w:val="both"/>
            <w:rPr>
              <w:color w:val="000000"/>
              <w:spacing w:val="-20"/>
              <w:sz w:val="20"/>
              <w:szCs w:val="20"/>
              <w:lang w:val="en-US" w:eastAsia="en-US" w:bidi="en-US"/>
            </w:rPr>
          </w:pPr>
        </w:p>
        <w:p w:rsidR="00B610CC" w:rsidRPr="009B6DB6" w:rsidRDefault="00B610CC" w:rsidP="00B610CC">
          <w:pPr>
            <w:pStyle w:val="HeaderFooter"/>
            <w:spacing w:before="0" w:after="0"/>
            <w:jc w:val="right"/>
            <w:rPr>
              <w:rFonts w:cs="Arial"/>
              <w:color w:val="000000"/>
              <w:spacing w:val="-20"/>
              <w:sz w:val="20"/>
              <w:szCs w:val="20"/>
              <w:lang w:val="en-US" w:eastAsia="en-US" w:bidi="en-US"/>
            </w:rPr>
          </w:pPr>
          <w:r w:rsidRPr="009B6DB6">
            <w:rPr>
              <w:rFonts w:cs="Arial"/>
              <w:color w:val="000000"/>
              <w:spacing w:val="-20"/>
              <w:sz w:val="20"/>
              <w:szCs w:val="20"/>
              <w:lang w:val="en-US" w:eastAsia="en-US" w:bidi="en-US"/>
            </w:rPr>
            <w:t>Universal Periodic Review</w:t>
          </w:r>
        </w:p>
        <w:p w:rsidR="00B610CC" w:rsidRPr="00B610CC" w:rsidRDefault="00B610CC" w:rsidP="00C87F1C">
          <w:pPr>
            <w:pStyle w:val="HeaderFooter"/>
            <w:spacing w:before="0" w:after="0"/>
            <w:jc w:val="both"/>
            <w:rPr>
              <w:color w:val="000000"/>
              <w:spacing w:val="-20"/>
              <w:sz w:val="20"/>
              <w:szCs w:val="20"/>
              <w:lang w:val="en-US" w:eastAsia="en-US" w:bidi="en-US"/>
            </w:rPr>
          </w:pPr>
        </w:p>
      </w:tc>
    </w:tr>
  </w:tbl>
  <w:p w:rsidR="00B610CC" w:rsidRDefault="00B610CC" w:rsidP="009C6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572E89"/>
    <w:multiLevelType w:val="hybridMultilevel"/>
    <w:tmpl w:val="DEC0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9"/>
  </w:num>
  <w:num w:numId="3">
    <w:abstractNumId w:val="22"/>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0"/>
  </w:num>
  <w:num w:numId="18">
    <w:abstractNumId w:val="18"/>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5"/>
  </w:num>
  <w:num w:numId="23">
    <w:abstractNumId w:val="26"/>
  </w:num>
  <w:num w:numId="24">
    <w:abstractNumId w:val="27"/>
  </w:num>
  <w:num w:numId="25">
    <w:abstractNumId w:val="1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9"/>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BD"/>
    <w:rsid w:val="00000871"/>
    <w:rsid w:val="00041650"/>
    <w:rsid w:val="000579B1"/>
    <w:rsid w:val="000B0A5D"/>
    <w:rsid w:val="000B53EE"/>
    <w:rsid w:val="000E38FA"/>
    <w:rsid w:val="00123209"/>
    <w:rsid w:val="0013506B"/>
    <w:rsid w:val="001373D3"/>
    <w:rsid w:val="0014641B"/>
    <w:rsid w:val="00162A8D"/>
    <w:rsid w:val="001662B6"/>
    <w:rsid w:val="00176220"/>
    <w:rsid w:val="001775E8"/>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31013"/>
    <w:rsid w:val="003341CA"/>
    <w:rsid w:val="003731B3"/>
    <w:rsid w:val="00387489"/>
    <w:rsid w:val="003C3D19"/>
    <w:rsid w:val="0042024B"/>
    <w:rsid w:val="00436828"/>
    <w:rsid w:val="0044690C"/>
    <w:rsid w:val="004510B9"/>
    <w:rsid w:val="00474063"/>
    <w:rsid w:val="004B3F64"/>
    <w:rsid w:val="004D6BC5"/>
    <w:rsid w:val="005024B5"/>
    <w:rsid w:val="00513540"/>
    <w:rsid w:val="005533B0"/>
    <w:rsid w:val="0057396F"/>
    <w:rsid w:val="005747B5"/>
    <w:rsid w:val="005916E1"/>
    <w:rsid w:val="005B50D7"/>
    <w:rsid w:val="005D1F34"/>
    <w:rsid w:val="005E4EA0"/>
    <w:rsid w:val="005F36BE"/>
    <w:rsid w:val="005F4789"/>
    <w:rsid w:val="005F7015"/>
    <w:rsid w:val="0061324D"/>
    <w:rsid w:val="006A6BB3"/>
    <w:rsid w:val="006B2544"/>
    <w:rsid w:val="006C6741"/>
    <w:rsid w:val="006D1CAC"/>
    <w:rsid w:val="006D5EE5"/>
    <w:rsid w:val="00732CE4"/>
    <w:rsid w:val="0073322F"/>
    <w:rsid w:val="00740E26"/>
    <w:rsid w:val="007606CC"/>
    <w:rsid w:val="00770DCB"/>
    <w:rsid w:val="00775485"/>
    <w:rsid w:val="008240B1"/>
    <w:rsid w:val="00826AC5"/>
    <w:rsid w:val="008724DE"/>
    <w:rsid w:val="008B3662"/>
    <w:rsid w:val="008B4C13"/>
    <w:rsid w:val="008D6140"/>
    <w:rsid w:val="008E3D60"/>
    <w:rsid w:val="008E675D"/>
    <w:rsid w:val="0090165F"/>
    <w:rsid w:val="00932563"/>
    <w:rsid w:val="00944ABD"/>
    <w:rsid w:val="009627BD"/>
    <w:rsid w:val="0096525D"/>
    <w:rsid w:val="00966C2F"/>
    <w:rsid w:val="009B6DB6"/>
    <w:rsid w:val="009C678D"/>
    <w:rsid w:val="009C6EA0"/>
    <w:rsid w:val="009E7C36"/>
    <w:rsid w:val="00A0406E"/>
    <w:rsid w:val="00A10F11"/>
    <w:rsid w:val="00A32F15"/>
    <w:rsid w:val="00A41355"/>
    <w:rsid w:val="00A43B92"/>
    <w:rsid w:val="00A6179E"/>
    <w:rsid w:val="00A9225B"/>
    <w:rsid w:val="00AB209B"/>
    <w:rsid w:val="00AD40E8"/>
    <w:rsid w:val="00B0666A"/>
    <w:rsid w:val="00B10447"/>
    <w:rsid w:val="00B15F40"/>
    <w:rsid w:val="00B277E0"/>
    <w:rsid w:val="00B53A65"/>
    <w:rsid w:val="00B610CC"/>
    <w:rsid w:val="00B639F4"/>
    <w:rsid w:val="00BA262D"/>
    <w:rsid w:val="00BC5E7F"/>
    <w:rsid w:val="00BD400C"/>
    <w:rsid w:val="00BF1C1B"/>
    <w:rsid w:val="00C00DC8"/>
    <w:rsid w:val="00C25BDA"/>
    <w:rsid w:val="00C402EE"/>
    <w:rsid w:val="00C40E71"/>
    <w:rsid w:val="00C71D32"/>
    <w:rsid w:val="00C76D13"/>
    <w:rsid w:val="00C87F1C"/>
    <w:rsid w:val="00C91654"/>
    <w:rsid w:val="00CA0D78"/>
    <w:rsid w:val="00D1390E"/>
    <w:rsid w:val="00D41C6C"/>
    <w:rsid w:val="00D41D47"/>
    <w:rsid w:val="00D65207"/>
    <w:rsid w:val="00D65C76"/>
    <w:rsid w:val="00D65C9F"/>
    <w:rsid w:val="00D96E1E"/>
    <w:rsid w:val="00DA2F73"/>
    <w:rsid w:val="00DC462F"/>
    <w:rsid w:val="00DD1943"/>
    <w:rsid w:val="00DE047A"/>
    <w:rsid w:val="00DF3E39"/>
    <w:rsid w:val="00E01A6C"/>
    <w:rsid w:val="00E14A38"/>
    <w:rsid w:val="00E24FA3"/>
    <w:rsid w:val="00E36B41"/>
    <w:rsid w:val="00E45954"/>
    <w:rsid w:val="00EB2362"/>
    <w:rsid w:val="00EB3F90"/>
    <w:rsid w:val="00EE50BC"/>
    <w:rsid w:val="00EF1575"/>
    <w:rsid w:val="00F14C6D"/>
    <w:rsid w:val="00FA6159"/>
    <w:rsid w:val="00FB625D"/>
    <w:rsid w:val="00FC1C47"/>
    <w:rsid w:val="00FC7847"/>
    <w:rsid w:val="00FD7142"/>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D13DB83A-6B87-4D19-AEEC-4A2062F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CE4"/>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paragraph" w:styleId="ListParagraph">
    <w:name w:val="List Paragraph"/>
    <w:basedOn w:val="Normal"/>
    <w:uiPriority w:val="34"/>
    <w:qFormat/>
    <w:rsid w:val="00732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humanrights.gov.au/our-work/sexual-orientation-sex-gender-identity/publications/resilient-individuals-sexual" TargetMode="External"/><Relationship Id="rId1" Type="http://schemas.openxmlformats.org/officeDocument/2006/relationships/hyperlink" Target="http://www.sogistory.com/m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BD13-ECF3-4455-8869-A863C651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Letterhead.dot</Template>
  <TotalTime>281</TotalTime>
  <Pages>3</Pages>
  <Words>581</Words>
  <Characters>3423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Akhil Abraham</dc:creator>
  <cp:lastModifiedBy>Helen Potts</cp:lastModifiedBy>
  <cp:revision>20</cp:revision>
  <cp:lastPrinted>2008-09-11T23:06:00Z</cp:lastPrinted>
  <dcterms:created xsi:type="dcterms:W3CDTF">2015-05-22T00:28:00Z</dcterms:created>
  <dcterms:modified xsi:type="dcterms:W3CDTF">2015-06-26T04:05:00Z</dcterms:modified>
</cp:coreProperties>
</file>