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D8FF" w14:textId="77777777" w:rsidR="00C47807" w:rsidRDefault="00C47807" w:rsidP="005B50F7">
      <w:pPr>
        <w:pStyle w:val="Title"/>
        <w:contextualSpacing/>
      </w:pPr>
    </w:p>
    <w:p w14:paraId="089575BF" w14:textId="77777777" w:rsidR="00C47807" w:rsidRDefault="00C47807" w:rsidP="005B50F7">
      <w:pPr>
        <w:pStyle w:val="Title"/>
        <w:contextualSpacing/>
      </w:pPr>
    </w:p>
    <w:p w14:paraId="68D2E252" w14:textId="77777777" w:rsidR="00C47807" w:rsidRDefault="00C47807" w:rsidP="005B50F7">
      <w:pPr>
        <w:pStyle w:val="Title"/>
        <w:contextualSpacing/>
      </w:pPr>
    </w:p>
    <w:p w14:paraId="67946F56" w14:textId="77777777" w:rsidR="008A2AF7" w:rsidRPr="00711F47" w:rsidRDefault="007B380D" w:rsidP="005B50F7">
      <w:pPr>
        <w:pStyle w:val="Title"/>
        <w:contextualSpacing/>
        <w:rPr>
          <w:color w:val="1F497D" w:themeColor="text2"/>
          <w:sz w:val="36"/>
          <w:szCs w:val="36"/>
        </w:rPr>
      </w:pPr>
      <w:r w:rsidRPr="00711F47">
        <w:rPr>
          <w:color w:val="1F497D" w:themeColor="text2"/>
          <w:sz w:val="36"/>
          <w:szCs w:val="36"/>
        </w:rPr>
        <w:t xml:space="preserve">Factsheet: </w:t>
      </w:r>
      <w:r w:rsidR="005B50F7" w:rsidRPr="00711F47">
        <w:rPr>
          <w:color w:val="1F497D" w:themeColor="text2"/>
          <w:sz w:val="36"/>
          <w:szCs w:val="36"/>
        </w:rPr>
        <w:t>Older Persons</w:t>
      </w:r>
    </w:p>
    <w:p w14:paraId="44802F54" w14:textId="77777777" w:rsidR="005B50F7" w:rsidRPr="00711F47" w:rsidRDefault="005B50F7" w:rsidP="00A02F56">
      <w:pPr>
        <w:rPr>
          <w:b/>
          <w:color w:val="1F497D" w:themeColor="text2"/>
          <w:sz w:val="28"/>
        </w:rPr>
      </w:pPr>
      <w:r w:rsidRPr="00711F47">
        <w:rPr>
          <w:b/>
          <w:color w:val="1F497D" w:themeColor="text2"/>
          <w:sz w:val="28"/>
        </w:rPr>
        <w:t>Background Information</w:t>
      </w:r>
    </w:p>
    <w:p w14:paraId="04A47160" w14:textId="77777777" w:rsidR="005B50F7" w:rsidRDefault="005B50F7" w:rsidP="005B50F7">
      <w:r>
        <w:t xml:space="preserve">Australia has a significant ageing population. Older people face human rights challenges relating to poverty, </w:t>
      </w:r>
      <w:r w:rsidR="00FA5F62">
        <w:t xml:space="preserve">workforce </w:t>
      </w:r>
      <w:r>
        <w:t>discrimination</w:t>
      </w:r>
      <w:r w:rsidR="00F01D63">
        <w:t xml:space="preserve">, </w:t>
      </w:r>
      <w:r>
        <w:t>stereotyping</w:t>
      </w:r>
      <w:r w:rsidR="00F01D63">
        <w:t>, and violence</w:t>
      </w:r>
      <w:r>
        <w:t>.</w:t>
      </w:r>
    </w:p>
    <w:p w14:paraId="339E2AC5" w14:textId="77777777" w:rsidR="0056103D" w:rsidRDefault="00417140" w:rsidP="0013201A">
      <w:pPr>
        <w:spacing w:before="0" w:after="0"/>
      </w:pPr>
      <w:r>
        <w:t xml:space="preserve">Since the last UPR, </w:t>
      </w:r>
      <w:r w:rsidR="005B50F7">
        <w:t xml:space="preserve">the </w:t>
      </w:r>
      <w:r w:rsidR="005B50F7" w:rsidRPr="00417140">
        <w:rPr>
          <w:i/>
        </w:rPr>
        <w:t>Age Discrimination Act 2004</w:t>
      </w:r>
      <w:r>
        <w:t xml:space="preserve"> (Cth)</w:t>
      </w:r>
      <w:r w:rsidR="00FA5F62">
        <w:t xml:space="preserve"> was amended</w:t>
      </w:r>
      <w:r w:rsidR="005B50F7">
        <w:t xml:space="preserve"> </w:t>
      </w:r>
      <w:r w:rsidR="00FA5F62">
        <w:t xml:space="preserve">with the position of </w:t>
      </w:r>
      <w:r w:rsidR="005B50F7">
        <w:t xml:space="preserve">Age Discrimination Commissioner </w:t>
      </w:r>
      <w:r w:rsidR="00FA5F62">
        <w:t>created</w:t>
      </w:r>
      <w:r w:rsidR="005B50F7">
        <w:t xml:space="preserve">. </w:t>
      </w:r>
      <w:r>
        <w:t>The Commissioner has been working on issues such as workplace participation and</w:t>
      </w:r>
      <w:r w:rsidR="00FA5F62">
        <w:t xml:space="preserve"> overcoming</w:t>
      </w:r>
      <w:r>
        <w:t xml:space="preserve"> stereotyping of older people, and </w:t>
      </w:r>
      <w:r w:rsidR="00FA5F62">
        <w:t xml:space="preserve">improving </w:t>
      </w:r>
      <w:r>
        <w:t>financial security.</w:t>
      </w:r>
      <w:r w:rsidR="00FA5F62">
        <w:t xml:space="preserve"> </w:t>
      </w:r>
      <w:r w:rsidR="005B50F7">
        <w:t>Additionally, the Australian Law Reform Commission conducted an inquiry in 2012-13 into Commonwealth laws that prevent</w:t>
      </w:r>
      <w:r w:rsidR="00E310C8">
        <w:t xml:space="preserve"> or impede the workforce participation of older workers.</w:t>
      </w:r>
      <w:r w:rsidR="0013201A">
        <w:rPr>
          <w:rStyle w:val="EndnoteReference"/>
          <w:sz w:val="23"/>
          <w:szCs w:val="23"/>
        </w:rPr>
        <w:endnoteReference w:id="1"/>
      </w:r>
    </w:p>
    <w:p w14:paraId="55DB9890" w14:textId="77777777" w:rsidR="0056103D" w:rsidRDefault="0056103D" w:rsidP="0013201A">
      <w:pPr>
        <w:spacing w:before="0" w:after="0"/>
      </w:pPr>
    </w:p>
    <w:p w14:paraId="6478B3B6" w14:textId="77777777" w:rsidR="0056103D" w:rsidRDefault="0056103D" w:rsidP="0056103D">
      <w:pPr>
        <w:spacing w:before="0" w:after="0"/>
      </w:pPr>
      <w:r>
        <w:t>Reforms in some states that have a positive impact on workforce participation by older people have included changes to the driver licensing system for older drivers to remove barriers to participation,</w:t>
      </w:r>
      <w:r>
        <w:rPr>
          <w:rStyle w:val="EndnoteReference"/>
        </w:rPr>
        <w:endnoteReference w:id="2"/>
      </w:r>
      <w:r>
        <w:t xml:space="preserve"> and reforms to workers compensation acts to remove compensation limitations based on age.</w:t>
      </w:r>
      <w:r>
        <w:rPr>
          <w:rStyle w:val="EndnoteReference"/>
        </w:rPr>
        <w:endnoteReference w:id="3"/>
      </w:r>
      <w:r>
        <w:t xml:space="preserve"> </w:t>
      </w:r>
    </w:p>
    <w:p w14:paraId="05934070" w14:textId="77777777" w:rsidR="0056103D" w:rsidRDefault="0056103D" w:rsidP="0056103D">
      <w:pPr>
        <w:spacing w:before="0" w:after="0"/>
      </w:pPr>
    </w:p>
    <w:p w14:paraId="6A6BE7B4" w14:textId="0F7F7E34" w:rsidR="001E14CC" w:rsidRPr="0056103D" w:rsidRDefault="0056103D" w:rsidP="0013201A">
      <w:pPr>
        <w:spacing w:before="0" w:after="0"/>
        <w:rPr>
          <w:rFonts w:cs="Arial"/>
        </w:rPr>
      </w:pPr>
      <w:r>
        <w:rPr>
          <w:rFonts w:cs="Arial"/>
        </w:rPr>
        <w:t xml:space="preserve">Major reforms to the Australian aged care system were announced in 2013 and continue to be implemented. The ten year reform program aims to create a more flexible and consumer focussed system </w:t>
      </w:r>
      <w:r w:rsidR="00FA5F62">
        <w:rPr>
          <w:rFonts w:cs="Arial"/>
        </w:rPr>
        <w:t>that provides</w:t>
      </w:r>
      <w:r>
        <w:rPr>
          <w:rFonts w:cs="Arial"/>
        </w:rPr>
        <w:t xml:space="preserve"> greater control and choice. </w:t>
      </w:r>
    </w:p>
    <w:p w14:paraId="2970A710" w14:textId="77777777" w:rsidR="005B50F7" w:rsidRPr="00711F47" w:rsidRDefault="005B50F7" w:rsidP="00A02F56">
      <w:pPr>
        <w:rPr>
          <w:b/>
          <w:color w:val="1F497D" w:themeColor="text2"/>
          <w:sz w:val="28"/>
        </w:rPr>
      </w:pPr>
      <w:r w:rsidRPr="00711F47">
        <w:rPr>
          <w:b/>
          <w:color w:val="1F497D" w:themeColor="text2"/>
          <w:sz w:val="28"/>
        </w:rPr>
        <w:t>Key Issue</w:t>
      </w:r>
      <w:r w:rsidR="00E310C8" w:rsidRPr="00711F47">
        <w:rPr>
          <w:b/>
          <w:color w:val="1F497D" w:themeColor="text2"/>
          <w:sz w:val="28"/>
        </w:rPr>
        <w:t xml:space="preserve"> – Older people</w:t>
      </w:r>
      <w:r w:rsidR="00995DE3" w:rsidRPr="00711F47">
        <w:rPr>
          <w:b/>
          <w:color w:val="1F497D" w:themeColor="text2"/>
          <w:sz w:val="28"/>
        </w:rPr>
        <w:t xml:space="preserve"> and </w:t>
      </w:r>
      <w:r w:rsidR="00E310C8" w:rsidRPr="00711F47">
        <w:rPr>
          <w:b/>
          <w:color w:val="1F497D" w:themeColor="text2"/>
          <w:sz w:val="28"/>
        </w:rPr>
        <w:t>work</w:t>
      </w:r>
    </w:p>
    <w:p w14:paraId="61C5EB66" w14:textId="77777777" w:rsidR="000028EC" w:rsidRDefault="005B50F7" w:rsidP="00F01D63">
      <w:r w:rsidRPr="005B50F7">
        <w:t xml:space="preserve">Australian workforce participation rates amongst older people when compared with other OECD countries remain low. </w:t>
      </w:r>
      <w:r w:rsidR="00F01D63" w:rsidRPr="00F01D63">
        <w:t>In 201</w:t>
      </w:r>
      <w:r w:rsidR="00F01D63">
        <w:t>4</w:t>
      </w:r>
      <w:r w:rsidR="00F01D63" w:rsidRPr="00F01D63">
        <w:t>, 61.</w:t>
      </w:r>
      <w:r w:rsidR="00F01D63">
        <w:t>5</w:t>
      </w:r>
      <w:r w:rsidR="00F01D63" w:rsidRPr="00F01D63">
        <w:t>% of Australians aged 55 to 64 were participating in the workforce, more than 1</w:t>
      </w:r>
      <w:r w:rsidR="00F01D63">
        <w:t xml:space="preserve">5 </w:t>
      </w:r>
      <w:r w:rsidR="00F01D63" w:rsidRPr="00F01D63">
        <w:t>percentage points lower than New Zealand with participation rates at 7</w:t>
      </w:r>
      <w:r w:rsidR="00F01D63">
        <w:t>6</w:t>
      </w:r>
      <w:r w:rsidR="00F01D63" w:rsidRPr="00F01D63">
        <w:t>.</w:t>
      </w:r>
      <w:r w:rsidR="00F01D63">
        <w:t>2</w:t>
      </w:r>
      <w:r w:rsidR="00F01D63" w:rsidRPr="00F01D63">
        <w:t>%.</w:t>
      </w:r>
      <w:r w:rsidR="00F01D63">
        <w:rPr>
          <w:rStyle w:val="EndnoteReference"/>
        </w:rPr>
        <w:endnoteReference w:id="4"/>
      </w:r>
    </w:p>
    <w:p w14:paraId="00E4990D" w14:textId="77777777" w:rsidR="005B50F7" w:rsidRDefault="005B50F7" w:rsidP="00F01D63">
      <w:r w:rsidRPr="005B50F7">
        <w:t xml:space="preserve">The Commission’s campaign, </w:t>
      </w:r>
      <w:r w:rsidRPr="000028EC">
        <w:rPr>
          <w:i/>
        </w:rPr>
        <w:t>The Power of Oldness</w:t>
      </w:r>
      <w:r w:rsidRPr="005B50F7">
        <w:t>,</w:t>
      </w:r>
      <w:r w:rsidR="0056103D">
        <w:rPr>
          <w:rStyle w:val="EndnoteReference"/>
        </w:rPr>
        <w:endnoteReference w:id="5"/>
      </w:r>
      <w:r w:rsidR="0056103D">
        <w:t xml:space="preserve"> exposes</w:t>
      </w:r>
      <w:r w:rsidRPr="005B50F7">
        <w:t xml:space="preserve"> the stark difference between the skills and strengths of mature workers with the discrimination they face when trying to gain or maintain </w:t>
      </w:r>
      <w:r w:rsidR="00E310C8">
        <w:t>work</w:t>
      </w:r>
      <w:r w:rsidRPr="005B50F7">
        <w:t>.</w:t>
      </w:r>
    </w:p>
    <w:p w14:paraId="5CD037E6" w14:textId="1428CC8C" w:rsidR="001F434C" w:rsidRDefault="0056103D" w:rsidP="00F01D63">
      <w:r>
        <w:t xml:space="preserve">The Australian Government </w:t>
      </w:r>
      <w:r w:rsidR="00FA5F62">
        <w:t>announced</w:t>
      </w:r>
      <w:r>
        <w:t xml:space="preserve"> a national inquiry into barriers facing older wo</w:t>
      </w:r>
      <w:r w:rsidR="00FA5F62">
        <w:t>rkers and people with disabilit</w:t>
      </w:r>
      <w:r>
        <w:t>y in employment</w:t>
      </w:r>
      <w:r w:rsidR="00FA5F62">
        <w:t xml:space="preserve"> in late 2014</w:t>
      </w:r>
      <w:r>
        <w:t xml:space="preserve">. </w:t>
      </w:r>
      <w:r w:rsidR="00FA5F62">
        <w:t>T</w:t>
      </w:r>
      <w:r w:rsidRPr="0056103D">
        <w:t xml:space="preserve">he Commission </w:t>
      </w:r>
      <w:r>
        <w:t xml:space="preserve">is </w:t>
      </w:r>
      <w:r w:rsidRPr="0056103D">
        <w:t>undertak</w:t>
      </w:r>
      <w:r>
        <w:t xml:space="preserve">ing the </w:t>
      </w:r>
      <w:r w:rsidRPr="0056103D">
        <w:t>National Inquiry into Employment Discrimination against Older Australians and Australians with Disability</w:t>
      </w:r>
      <w:r w:rsidR="00FA5F62">
        <w:t xml:space="preserve"> at the request of the Attorney-General</w:t>
      </w:r>
      <w:r w:rsidRPr="0056103D">
        <w:t>.</w:t>
      </w:r>
      <w:r>
        <w:rPr>
          <w:rStyle w:val="EndnoteReference"/>
        </w:rPr>
        <w:endnoteReference w:id="6"/>
      </w:r>
      <w:r w:rsidRPr="0056103D">
        <w:t xml:space="preserve"> The Inquiry</w:t>
      </w:r>
      <w:r w:rsidR="00A0176E">
        <w:t xml:space="preserve"> </w:t>
      </w:r>
      <w:r w:rsidR="00613325" w:rsidRPr="00613325">
        <w:t>will report on its findings and recommendations by July 2016.</w:t>
      </w:r>
    </w:p>
    <w:p w14:paraId="6A966B82" w14:textId="048D6648" w:rsidR="00660A0A" w:rsidRDefault="00660A0A" w:rsidP="00F01D63">
      <w:r>
        <w:t>In June 2015, Commissioner Susan Ryan was a</w:t>
      </w:r>
      <w:bookmarkStart w:id="0" w:name="_GoBack"/>
      <w:bookmarkEnd w:id="0"/>
      <w:r>
        <w:t>ppointed the Australian Government's Ambassador for Mature Age Employment</w:t>
      </w:r>
      <w:r>
        <w:rPr>
          <w:rStyle w:val="EndnoteReference"/>
        </w:rPr>
        <w:endnoteReference w:id="7"/>
      </w:r>
      <w:r>
        <w:t>.</w:t>
      </w:r>
    </w:p>
    <w:p w14:paraId="3AFD6AE4" w14:textId="77777777" w:rsidR="005B50F7" w:rsidRPr="005B50F7" w:rsidRDefault="005B50F7" w:rsidP="00A02F56">
      <w:pPr>
        <w:rPr>
          <w:b/>
          <w:sz w:val="28"/>
        </w:rPr>
      </w:pPr>
      <w:r w:rsidRPr="00711F47">
        <w:rPr>
          <w:b/>
          <w:color w:val="1F497D" w:themeColor="text2"/>
          <w:sz w:val="28"/>
        </w:rPr>
        <w:t>Recommendation</w:t>
      </w:r>
      <w:r w:rsidRPr="005B50F7">
        <w:rPr>
          <w:b/>
          <w:sz w:val="28"/>
        </w:rPr>
        <w:t xml:space="preserve"> </w:t>
      </w:r>
    </w:p>
    <w:p w14:paraId="26FA8732" w14:textId="77777777" w:rsidR="005B50F7" w:rsidRDefault="00597674" w:rsidP="00597674">
      <w:pPr>
        <w:rPr>
          <w:b/>
          <w:i/>
        </w:rPr>
      </w:pPr>
      <w:r w:rsidRPr="008B6E25">
        <w:rPr>
          <w:b/>
          <w:i/>
        </w:rPr>
        <w:t>The Commission recommends that Government ensure programs support positive ageing, reduce workplace discrimination against older Australians and address poverty in old age.</w:t>
      </w:r>
    </w:p>
    <w:sectPr w:rsidR="005B50F7" w:rsidSect="00C47807">
      <w:headerReference w:type="default" r:id="rId8"/>
      <w:headerReference w:type="first" r:id="rId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DA688" w14:textId="77777777" w:rsidR="004E4633" w:rsidRDefault="004E4633" w:rsidP="00F14C6D">
      <w:r>
        <w:separator/>
      </w:r>
    </w:p>
  </w:endnote>
  <w:endnote w:type="continuationSeparator" w:id="0">
    <w:p w14:paraId="37E95536" w14:textId="77777777" w:rsidR="004E4633" w:rsidRDefault="004E4633" w:rsidP="00F14C6D">
      <w:r>
        <w:continuationSeparator/>
      </w:r>
    </w:p>
  </w:endnote>
  <w:endnote w:id="1">
    <w:p w14:paraId="6E66A3E9" w14:textId="77777777" w:rsidR="0013201A" w:rsidRDefault="0013201A" w:rsidP="0013201A">
      <w:pPr>
        <w:pStyle w:val="EndnoteText"/>
        <w:spacing w:before="60" w:after="60"/>
        <w:rPr>
          <w:rFonts w:eastAsia="MS Mincho" w:cs="Arial"/>
        </w:rPr>
      </w:pPr>
      <w:r>
        <w:rPr>
          <w:rStyle w:val="EndnoteReference"/>
        </w:rPr>
        <w:endnoteRef/>
      </w:r>
      <w:r>
        <w:rPr>
          <w:rFonts w:cs="Arial"/>
        </w:rPr>
        <w:t xml:space="preserve"> Australian Law Reform Commission, </w:t>
      </w:r>
      <w:r>
        <w:rPr>
          <w:rFonts w:cs="Arial"/>
          <w:i/>
        </w:rPr>
        <w:t>Age Barriers to Work</w:t>
      </w:r>
      <w:r>
        <w:rPr>
          <w:rFonts w:cs="Arial"/>
        </w:rPr>
        <w:t xml:space="preserve"> (2012). At </w:t>
      </w:r>
      <w:hyperlink r:id="rId1" w:history="1">
        <w:r>
          <w:rPr>
            <w:rStyle w:val="Hyperlink"/>
            <w:rFonts w:cs="Arial"/>
          </w:rPr>
          <w:t>http://www.alrc.gov.au/inquiries/age-barriers-work</w:t>
        </w:r>
      </w:hyperlink>
      <w:r>
        <w:rPr>
          <w:rFonts w:cs="Arial"/>
        </w:rPr>
        <w:t xml:space="preserve"> (viewed 20 June 2015). </w:t>
      </w:r>
    </w:p>
  </w:endnote>
  <w:endnote w:id="2">
    <w:p w14:paraId="72AB212B" w14:textId="77777777" w:rsidR="0056103D" w:rsidRDefault="0056103D" w:rsidP="0056103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B6E25">
        <w:t>Tasmanian Anti-Discrimination Commission,</w:t>
      </w:r>
      <w:r w:rsidRPr="008B6E25">
        <w:rPr>
          <w:i/>
        </w:rPr>
        <w:t xml:space="preserve"> </w:t>
      </w:r>
      <w:r w:rsidRPr="008B6E25">
        <w:t>‘</w:t>
      </w:r>
      <w:r w:rsidRPr="008B6E25">
        <w:rPr>
          <w:bCs/>
        </w:rPr>
        <w:t xml:space="preserve">Commissioner welcomes removal of barriers to older drivers’, (Media Release, 30 August 2011). At </w:t>
      </w:r>
      <w:hyperlink r:id="rId2" w:history="1">
        <w:r w:rsidRPr="00601AD6">
          <w:rPr>
            <w:rStyle w:val="Hyperlink"/>
          </w:rPr>
          <w:t>http://www.antidiscrimination.tas.gov.au/__data/assets/pdf_file/0009/176382/WEB_-_11.08.25-MR-Older_drivers.pdf</w:t>
        </w:r>
      </w:hyperlink>
      <w:r>
        <w:t xml:space="preserve"> (viewed 20 June 2015).</w:t>
      </w:r>
    </w:p>
  </w:endnote>
  <w:endnote w:id="3">
    <w:p w14:paraId="2A2474D2" w14:textId="77777777" w:rsidR="0056103D" w:rsidRDefault="0056103D" w:rsidP="0056103D">
      <w:pPr>
        <w:pStyle w:val="EndnoteText"/>
      </w:pPr>
      <w:r>
        <w:rPr>
          <w:rStyle w:val="EndnoteReference"/>
        </w:rPr>
        <w:endnoteRef/>
      </w:r>
      <w:r>
        <w:t xml:space="preserve"> Western Australia Equal Opportunity Commission, ‘</w:t>
      </w:r>
      <w:r>
        <w:rPr>
          <w:rFonts w:cs="Arial"/>
        </w:rPr>
        <w:t xml:space="preserve">Removal of age discrimination in workers’ compensation welcomed’, (Media Release, 18 August 2011). At </w:t>
      </w:r>
      <w:r>
        <w:t xml:space="preserve">  </w:t>
      </w:r>
      <w:hyperlink r:id="rId3" w:history="1">
        <w:r w:rsidRPr="00601AD6">
          <w:rPr>
            <w:rStyle w:val="Hyperlink"/>
          </w:rPr>
          <w:t>http://v1180.vividcluster2.crox.net.au/community/news.aspx?NewsItem=bc40adb4-a219-4139-8646-4d34644f9479</w:t>
        </w:r>
      </w:hyperlink>
      <w:r>
        <w:t xml:space="preserve"> (viewed 20 June 2015.</w:t>
      </w:r>
    </w:p>
  </w:endnote>
  <w:endnote w:id="4">
    <w:p w14:paraId="53A25C0D" w14:textId="77777777" w:rsidR="00F01D63" w:rsidRPr="00F01D63" w:rsidRDefault="00F01D63">
      <w:pPr>
        <w:pStyle w:val="EndnoteText"/>
      </w:pPr>
      <w:r>
        <w:rPr>
          <w:rStyle w:val="EndnoteReference"/>
        </w:rPr>
        <w:endnoteRef/>
      </w:r>
      <w:r>
        <w:t xml:space="preserve"> OECD Data, </w:t>
      </w:r>
      <w:r>
        <w:rPr>
          <w:i/>
        </w:rPr>
        <w:t>Employment</w:t>
      </w:r>
      <w:r>
        <w:t xml:space="preserve">. At </w:t>
      </w:r>
      <w:hyperlink r:id="rId4" w:anchor="indicator-chart" w:history="1">
        <w:r w:rsidRPr="001410A4">
          <w:rPr>
            <w:rStyle w:val="Hyperlink"/>
          </w:rPr>
          <w:t>https://data.oecd.org/emp/employment-rate-by-age-group.htm#indicator-chart</w:t>
        </w:r>
      </w:hyperlink>
      <w:r>
        <w:t xml:space="preserve"> </w:t>
      </w:r>
      <w:r w:rsidR="000028EC">
        <w:t>(viewed 9 June 2015).</w:t>
      </w:r>
    </w:p>
  </w:endnote>
  <w:endnote w:id="5">
    <w:p w14:paraId="16B24EAB" w14:textId="77777777" w:rsidR="0056103D" w:rsidRPr="00417140" w:rsidRDefault="0056103D" w:rsidP="0056103D">
      <w:pPr>
        <w:pStyle w:val="EndnoteText"/>
      </w:pPr>
      <w:r>
        <w:rPr>
          <w:rStyle w:val="EndnoteReference"/>
        </w:rPr>
        <w:endnoteRef/>
      </w:r>
      <w:r>
        <w:t xml:space="preserve"> Australian Human Rights Commission, </w:t>
      </w:r>
      <w:r>
        <w:rPr>
          <w:i/>
        </w:rPr>
        <w:t>Power of Oldness</w:t>
      </w:r>
      <w:r>
        <w:t xml:space="preserve"> (2014). At </w:t>
      </w:r>
      <w:hyperlink r:id="rId5" w:history="1">
        <w:r w:rsidRPr="00601AD6">
          <w:rPr>
            <w:rStyle w:val="Hyperlink"/>
          </w:rPr>
          <w:t>https://www.humanrights.gov.au/our-work/age-discrimination/projects/power-oldness</w:t>
        </w:r>
      </w:hyperlink>
      <w:r>
        <w:t xml:space="preserve"> (viewed 20 June 2015). </w:t>
      </w:r>
    </w:p>
  </w:endnote>
  <w:endnote w:id="6">
    <w:p w14:paraId="5180B7D5" w14:textId="77777777" w:rsidR="0056103D" w:rsidRPr="0056103D" w:rsidRDefault="0056103D">
      <w:pPr>
        <w:pStyle w:val="EndnoteText"/>
      </w:pPr>
      <w:r>
        <w:rPr>
          <w:rStyle w:val="EndnoteReference"/>
        </w:rPr>
        <w:endnoteRef/>
      </w:r>
      <w:r>
        <w:t xml:space="preserve"> Australian Human Rights Commission, </w:t>
      </w:r>
      <w:r w:rsidRPr="0056103D">
        <w:rPr>
          <w:i/>
        </w:rPr>
        <w:t>Willing to Work: National Inquiry into Employment Discrimination Against Older Australians and Australians with Disability</w:t>
      </w:r>
      <w:r>
        <w:t xml:space="preserve">. At </w:t>
      </w:r>
      <w:hyperlink r:id="rId6" w:anchor="about" w:history="1">
        <w:r w:rsidRPr="00601AD6">
          <w:rPr>
            <w:rStyle w:val="Hyperlink"/>
          </w:rPr>
          <w:t>https://www.humanrights.gov.au/our-work/disability-rights/projects/willing-work-national-inquiry-employment-discrimination-against#about</w:t>
        </w:r>
      </w:hyperlink>
      <w:r>
        <w:t xml:space="preserve"> (viewed 20 June 2016).</w:t>
      </w:r>
    </w:p>
  </w:endnote>
  <w:endnote w:id="7">
    <w:p w14:paraId="765EA6C1" w14:textId="6C4CFD6C" w:rsidR="00660A0A" w:rsidRDefault="00660A0A">
      <w:pPr>
        <w:pStyle w:val="EndnoteText"/>
      </w:pPr>
      <w:r>
        <w:rPr>
          <w:rStyle w:val="EndnoteReference"/>
        </w:rPr>
        <w:endnoteRef/>
      </w:r>
      <w:r>
        <w:t xml:space="preserve"> Australian Government Treasury, ‘New Ambassador for Mature Age Employment’, (Media Release, 24 June 2015). At </w:t>
      </w:r>
      <w:hyperlink r:id="rId7" w:history="1">
        <w:r w:rsidRPr="00135708">
          <w:rPr>
            <w:rStyle w:val="Hyperlink"/>
          </w:rPr>
          <w:t>http://jbh.ministers.treasury.gov.au/media-release/063-2015/</w:t>
        </w:r>
      </w:hyperlink>
      <w:r>
        <w:t xml:space="preserve"> (viewed 25 June 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1E22" w14:textId="77777777" w:rsidR="004E4633" w:rsidRDefault="004E4633" w:rsidP="00F14C6D">
      <w:r>
        <w:separator/>
      </w:r>
    </w:p>
  </w:footnote>
  <w:footnote w:type="continuationSeparator" w:id="0">
    <w:p w14:paraId="3E6496F5" w14:textId="77777777" w:rsidR="004E4633" w:rsidRDefault="004E4633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1B70" w14:textId="2A046295" w:rsidR="00C47807" w:rsidRDefault="00C47807">
    <w:pPr>
      <w:pStyle w:val="Header"/>
    </w:pPr>
  </w:p>
  <w:p w14:paraId="23A6C65E" w14:textId="77777777" w:rsidR="001F434C" w:rsidRPr="001F434C" w:rsidRDefault="001F434C" w:rsidP="001F4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1DF7" w14:textId="3F50C39D" w:rsidR="00A232E3" w:rsidRDefault="00C47807" w:rsidP="00C47807">
    <w:pPr>
      <w:pStyle w:val="Header"/>
      <w:tabs>
        <w:tab w:val="left" w:pos="855"/>
        <w:tab w:val="right" w:pos="907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0E1F748" w14:textId="186D357B" w:rsidR="00C47807" w:rsidRPr="00C47807" w:rsidRDefault="00A232E3" w:rsidP="00C47807">
    <w:pPr>
      <w:pStyle w:val="Header"/>
      <w:tabs>
        <w:tab w:val="left" w:pos="855"/>
        <w:tab w:val="right" w:pos="9070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1FFDEFD" wp14:editId="70AB782D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359660" cy="80454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7807">
      <w:rPr>
        <w:sz w:val="20"/>
        <w:szCs w:val="20"/>
      </w:rPr>
      <w:t>Universal Periodic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F7"/>
    <w:rsid w:val="000028EC"/>
    <w:rsid w:val="0001254B"/>
    <w:rsid w:val="00013272"/>
    <w:rsid w:val="00021134"/>
    <w:rsid w:val="000540A0"/>
    <w:rsid w:val="000579B1"/>
    <w:rsid w:val="00074750"/>
    <w:rsid w:val="00074CD6"/>
    <w:rsid w:val="000B0A5D"/>
    <w:rsid w:val="001011C8"/>
    <w:rsid w:val="0013201A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E14CC"/>
    <w:rsid w:val="001F04AE"/>
    <w:rsid w:val="001F2BBB"/>
    <w:rsid w:val="001F434C"/>
    <w:rsid w:val="0020759E"/>
    <w:rsid w:val="00231ED1"/>
    <w:rsid w:val="0023303F"/>
    <w:rsid w:val="0024300C"/>
    <w:rsid w:val="0024557E"/>
    <w:rsid w:val="002702D9"/>
    <w:rsid w:val="002C484A"/>
    <w:rsid w:val="002F474A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F0CEE"/>
    <w:rsid w:val="00417140"/>
    <w:rsid w:val="004215B3"/>
    <w:rsid w:val="00444303"/>
    <w:rsid w:val="00453C2C"/>
    <w:rsid w:val="004561BE"/>
    <w:rsid w:val="004611C3"/>
    <w:rsid w:val="00462D4C"/>
    <w:rsid w:val="00473DB9"/>
    <w:rsid w:val="00474063"/>
    <w:rsid w:val="00476EEA"/>
    <w:rsid w:val="00494D4B"/>
    <w:rsid w:val="004A722D"/>
    <w:rsid w:val="004E4633"/>
    <w:rsid w:val="004F53EF"/>
    <w:rsid w:val="00503E04"/>
    <w:rsid w:val="00504B28"/>
    <w:rsid w:val="00513540"/>
    <w:rsid w:val="00522CED"/>
    <w:rsid w:val="00554C04"/>
    <w:rsid w:val="0056103D"/>
    <w:rsid w:val="00597674"/>
    <w:rsid w:val="005B50F7"/>
    <w:rsid w:val="005B7515"/>
    <w:rsid w:val="005C1654"/>
    <w:rsid w:val="005D04F4"/>
    <w:rsid w:val="005D1F34"/>
    <w:rsid w:val="005E425A"/>
    <w:rsid w:val="005F5F45"/>
    <w:rsid w:val="00613325"/>
    <w:rsid w:val="00660A0A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1F47"/>
    <w:rsid w:val="007169BB"/>
    <w:rsid w:val="00725D5E"/>
    <w:rsid w:val="007548CA"/>
    <w:rsid w:val="00770DCB"/>
    <w:rsid w:val="00775485"/>
    <w:rsid w:val="007841E1"/>
    <w:rsid w:val="00790A02"/>
    <w:rsid w:val="007B380D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B6E25"/>
    <w:rsid w:val="008E3D60"/>
    <w:rsid w:val="008F5CE8"/>
    <w:rsid w:val="0090165F"/>
    <w:rsid w:val="00921CB7"/>
    <w:rsid w:val="00923C4F"/>
    <w:rsid w:val="009472C4"/>
    <w:rsid w:val="00950E88"/>
    <w:rsid w:val="00960118"/>
    <w:rsid w:val="00966C2F"/>
    <w:rsid w:val="009802F3"/>
    <w:rsid w:val="00995DE3"/>
    <w:rsid w:val="009A5753"/>
    <w:rsid w:val="009C5FB8"/>
    <w:rsid w:val="009E7FC4"/>
    <w:rsid w:val="009F51D9"/>
    <w:rsid w:val="009F7AAC"/>
    <w:rsid w:val="00A0176E"/>
    <w:rsid w:val="00A02F56"/>
    <w:rsid w:val="00A0406E"/>
    <w:rsid w:val="00A232E3"/>
    <w:rsid w:val="00A41355"/>
    <w:rsid w:val="00A43B92"/>
    <w:rsid w:val="00A44720"/>
    <w:rsid w:val="00A6179E"/>
    <w:rsid w:val="00A66F67"/>
    <w:rsid w:val="00AC27AB"/>
    <w:rsid w:val="00AC6A34"/>
    <w:rsid w:val="00AE76EB"/>
    <w:rsid w:val="00B22697"/>
    <w:rsid w:val="00B277E0"/>
    <w:rsid w:val="00B52E2D"/>
    <w:rsid w:val="00B76653"/>
    <w:rsid w:val="00BA262D"/>
    <w:rsid w:val="00BC79EB"/>
    <w:rsid w:val="00C076F2"/>
    <w:rsid w:val="00C247EB"/>
    <w:rsid w:val="00C25BDA"/>
    <w:rsid w:val="00C47807"/>
    <w:rsid w:val="00C53971"/>
    <w:rsid w:val="00C54FB1"/>
    <w:rsid w:val="00C80F9F"/>
    <w:rsid w:val="00CA0D78"/>
    <w:rsid w:val="00CB27A8"/>
    <w:rsid w:val="00CE7182"/>
    <w:rsid w:val="00D02975"/>
    <w:rsid w:val="00D1534C"/>
    <w:rsid w:val="00D36D90"/>
    <w:rsid w:val="00D65C76"/>
    <w:rsid w:val="00D97CE6"/>
    <w:rsid w:val="00DA2F73"/>
    <w:rsid w:val="00DA42E8"/>
    <w:rsid w:val="00DB1D5F"/>
    <w:rsid w:val="00DC193F"/>
    <w:rsid w:val="00DC3C4F"/>
    <w:rsid w:val="00DC462F"/>
    <w:rsid w:val="00E24FA3"/>
    <w:rsid w:val="00E310C8"/>
    <w:rsid w:val="00E328CD"/>
    <w:rsid w:val="00E45954"/>
    <w:rsid w:val="00E5393B"/>
    <w:rsid w:val="00E75D90"/>
    <w:rsid w:val="00E835AF"/>
    <w:rsid w:val="00E97EF8"/>
    <w:rsid w:val="00EE44D7"/>
    <w:rsid w:val="00F01D63"/>
    <w:rsid w:val="00F14C6D"/>
    <w:rsid w:val="00F3100E"/>
    <w:rsid w:val="00F71A6E"/>
    <w:rsid w:val="00F9078E"/>
    <w:rsid w:val="00F95982"/>
    <w:rsid w:val="00FA5F6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37468D1"/>
  <w15:docId w15:val="{83F2DD17-8B04-440F-B783-2F287FC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E310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10C8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uiPriority w:val="99"/>
    <w:semiHidden/>
    <w:locked/>
    <w:rsid w:val="0013201A"/>
    <w:rPr>
      <w:rFonts w:ascii="Arial" w:eastAsia="MS Mincho" w:hAnsi="Arial"/>
    </w:rPr>
  </w:style>
  <w:style w:type="character" w:styleId="CommentReference">
    <w:name w:val="annotation reference"/>
    <w:basedOn w:val="DefaultParagraphFont"/>
    <w:semiHidden/>
    <w:unhideWhenUsed/>
    <w:locked/>
    <w:rsid w:val="002C4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C4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484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C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484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v1180.vividcluster2.crox.net.au/community/news.aspx?NewsItem=bc40adb4-a219-4139-8646-4d34644f9479" TargetMode="External"/><Relationship Id="rId7" Type="http://schemas.openxmlformats.org/officeDocument/2006/relationships/hyperlink" Target="http://jbh.ministers.treasury.gov.au/media-release/063-2015/" TargetMode="External"/><Relationship Id="rId2" Type="http://schemas.openxmlformats.org/officeDocument/2006/relationships/hyperlink" Target="http://www.antidiscrimination.tas.gov.au/__data/assets/pdf_file/0009/176382/WEB_-_11.08.25-MR-Older_drivers.pdf" TargetMode="External"/><Relationship Id="rId1" Type="http://schemas.openxmlformats.org/officeDocument/2006/relationships/hyperlink" Target="http://www.alrc.gov.au/inquiries/age-barriers-work" TargetMode="External"/><Relationship Id="rId6" Type="http://schemas.openxmlformats.org/officeDocument/2006/relationships/hyperlink" Target="https://www.humanrights.gov.au/our-work/disability-rights/projects/willing-work-national-inquiry-employment-discrimination-against" TargetMode="External"/><Relationship Id="rId5" Type="http://schemas.openxmlformats.org/officeDocument/2006/relationships/hyperlink" Target="https://www.humanrights.gov.au/our-work/age-discrimination/projects/power-oldness" TargetMode="External"/><Relationship Id="rId4" Type="http://schemas.openxmlformats.org/officeDocument/2006/relationships/hyperlink" Target="https://data.oecd.org/emp/employment-rate-by-age-group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5ABB-53BD-4862-B733-1FE4111D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Akhil Abraham</dc:creator>
  <cp:lastModifiedBy>Helen Potts</cp:lastModifiedBy>
  <cp:revision>2</cp:revision>
  <cp:lastPrinted>2015-06-26T02:01:00Z</cp:lastPrinted>
  <dcterms:created xsi:type="dcterms:W3CDTF">2015-06-26T02:01:00Z</dcterms:created>
  <dcterms:modified xsi:type="dcterms:W3CDTF">2015-06-26T02:01:00Z</dcterms:modified>
</cp:coreProperties>
</file>