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CE" w:rsidRDefault="00842BCE" w:rsidP="005333CE">
      <w:pPr>
        <w:jc w:val="center"/>
        <w:rPr>
          <w:rStyle w:val="BookTitle"/>
          <w:b/>
          <w:i w:val="0"/>
          <w:iCs w:val="0"/>
          <w:smallCaps w:val="0"/>
          <w:spacing w:val="0"/>
        </w:rPr>
      </w:pPr>
      <w:bookmarkStart w:id="0" w:name="_GoBack"/>
      <w:bookmarkEnd w:id="0"/>
      <w:r>
        <w:rPr>
          <w:rStyle w:val="BookTitle"/>
          <w:b/>
          <w:i w:val="0"/>
          <w:iCs w:val="0"/>
          <w:smallCaps w:val="0"/>
          <w:spacing w:val="0"/>
        </w:rPr>
        <w:t>Response to Australian Human Rights Commission</w:t>
      </w:r>
    </w:p>
    <w:p w:rsidR="00935885" w:rsidRDefault="00935885" w:rsidP="008856B7">
      <w:pPr>
        <w:rPr>
          <w:rStyle w:val="BookTitle"/>
          <w:b/>
          <w:i w:val="0"/>
          <w:iCs w:val="0"/>
          <w:smallCaps w:val="0"/>
          <w:spacing w:val="0"/>
        </w:rPr>
      </w:pPr>
      <w:r>
        <w:rPr>
          <w:rStyle w:val="BookTitle"/>
          <w:b/>
          <w:i w:val="0"/>
          <w:iCs w:val="0"/>
          <w:smallCaps w:val="0"/>
          <w:spacing w:val="0"/>
        </w:rPr>
        <w:t>Introduction</w:t>
      </w:r>
    </w:p>
    <w:p w:rsidR="00890796" w:rsidRDefault="00890796" w:rsidP="00935885">
      <w:pPr>
        <w:rPr>
          <w:rStyle w:val="BookTitle"/>
          <w:i w:val="0"/>
          <w:iCs w:val="0"/>
          <w:smallCaps w:val="0"/>
          <w:spacing w:val="0"/>
        </w:rPr>
      </w:pPr>
      <w:r>
        <w:rPr>
          <w:rStyle w:val="BookTitle"/>
          <w:i w:val="0"/>
          <w:iCs w:val="0"/>
          <w:smallCaps w:val="0"/>
          <w:spacing w:val="0"/>
        </w:rPr>
        <w:t xml:space="preserve">The primary focus of the Department of Social Services’ application for temporary exemption from the </w:t>
      </w:r>
      <w:r w:rsidRPr="00CD6FDB">
        <w:rPr>
          <w:rStyle w:val="BookTitle"/>
          <w:iCs w:val="0"/>
          <w:smallCaps w:val="0"/>
          <w:spacing w:val="0"/>
        </w:rPr>
        <w:t>Disability Discrimination Act (1992)</w:t>
      </w:r>
      <w:r>
        <w:rPr>
          <w:rStyle w:val="BookTitle"/>
          <w:i w:val="0"/>
          <w:iCs w:val="0"/>
          <w:smallCaps w:val="0"/>
          <w:spacing w:val="0"/>
        </w:rPr>
        <w:t xml:space="preserve"> </w:t>
      </w:r>
      <w:r w:rsidR="009637AE">
        <w:rPr>
          <w:rStyle w:val="BookTitle"/>
          <w:i w:val="0"/>
          <w:iCs w:val="0"/>
          <w:smallCaps w:val="0"/>
          <w:spacing w:val="0"/>
        </w:rPr>
        <w:t xml:space="preserve">(DDA) </w:t>
      </w:r>
      <w:r>
        <w:rPr>
          <w:rStyle w:val="BookTitle"/>
          <w:i w:val="0"/>
          <w:iCs w:val="0"/>
          <w:smallCaps w:val="0"/>
          <w:spacing w:val="0"/>
        </w:rPr>
        <w:t xml:space="preserve">for three years is </w:t>
      </w:r>
      <w:r w:rsidR="00CD6FDB">
        <w:rPr>
          <w:rStyle w:val="BookTitle"/>
          <w:i w:val="0"/>
          <w:iCs w:val="0"/>
          <w:smallCaps w:val="0"/>
          <w:spacing w:val="0"/>
        </w:rPr>
        <w:t xml:space="preserve">to ensure that current workers have access to ongoing </w:t>
      </w:r>
      <w:r w:rsidR="00FE32AB">
        <w:rPr>
          <w:rStyle w:val="BookTitle"/>
          <w:i w:val="0"/>
          <w:iCs w:val="0"/>
          <w:smallCaps w:val="0"/>
          <w:spacing w:val="0"/>
        </w:rPr>
        <w:t xml:space="preserve">stable </w:t>
      </w:r>
      <w:r w:rsidR="00CD6FDB">
        <w:rPr>
          <w:rStyle w:val="BookTitle"/>
          <w:i w:val="0"/>
          <w:iCs w:val="0"/>
          <w:smallCaps w:val="0"/>
          <w:spacing w:val="0"/>
        </w:rPr>
        <w:t>employment opportunities.</w:t>
      </w:r>
    </w:p>
    <w:p w:rsidR="00883CA7" w:rsidRDefault="00CD6FDB" w:rsidP="00935885">
      <w:pPr>
        <w:rPr>
          <w:rStyle w:val="BookTitle"/>
          <w:i w:val="0"/>
          <w:iCs w:val="0"/>
          <w:smallCaps w:val="0"/>
          <w:spacing w:val="0"/>
        </w:rPr>
      </w:pPr>
      <w:r>
        <w:rPr>
          <w:rStyle w:val="BookTitle"/>
          <w:i w:val="0"/>
          <w:iCs w:val="0"/>
          <w:smallCaps w:val="0"/>
          <w:spacing w:val="0"/>
        </w:rPr>
        <w:t>Introducing</w:t>
      </w:r>
      <w:r w:rsidR="003805E9">
        <w:rPr>
          <w:rStyle w:val="BookTitle"/>
          <w:i w:val="0"/>
          <w:iCs w:val="0"/>
          <w:smallCaps w:val="0"/>
          <w:spacing w:val="0"/>
        </w:rPr>
        <w:t xml:space="preserve"> </w:t>
      </w:r>
      <w:r w:rsidR="007D3BEE">
        <w:rPr>
          <w:rStyle w:val="BookTitle"/>
          <w:i w:val="0"/>
          <w:iCs w:val="0"/>
          <w:smallCaps w:val="0"/>
          <w:spacing w:val="0"/>
        </w:rPr>
        <w:t xml:space="preserve">an </w:t>
      </w:r>
      <w:r w:rsidR="003805E9">
        <w:rPr>
          <w:rStyle w:val="BookTitle"/>
          <w:i w:val="0"/>
          <w:iCs w:val="0"/>
          <w:smallCaps w:val="0"/>
          <w:spacing w:val="0"/>
        </w:rPr>
        <w:t xml:space="preserve">alternative wage setting </w:t>
      </w:r>
      <w:r w:rsidR="007D3BEE">
        <w:rPr>
          <w:rStyle w:val="BookTitle"/>
          <w:i w:val="0"/>
          <w:iCs w:val="0"/>
          <w:smallCaps w:val="0"/>
          <w:spacing w:val="0"/>
        </w:rPr>
        <w:t xml:space="preserve">arrangement </w:t>
      </w:r>
      <w:r w:rsidR="003805E9">
        <w:rPr>
          <w:rStyle w:val="BookTitle"/>
          <w:i w:val="0"/>
          <w:iCs w:val="0"/>
          <w:smallCaps w:val="0"/>
          <w:spacing w:val="0"/>
        </w:rPr>
        <w:t xml:space="preserve">to replace the use of the Business Services Wage Assessment Tool </w:t>
      </w:r>
      <w:r w:rsidR="007D3BEE">
        <w:rPr>
          <w:rStyle w:val="BookTitle"/>
          <w:i w:val="0"/>
          <w:iCs w:val="0"/>
          <w:smallCaps w:val="0"/>
          <w:spacing w:val="0"/>
        </w:rPr>
        <w:t xml:space="preserve">(BSWAT) </w:t>
      </w:r>
      <w:r w:rsidR="001155E3">
        <w:rPr>
          <w:rStyle w:val="BookTitle"/>
          <w:i w:val="0"/>
          <w:iCs w:val="0"/>
          <w:smallCaps w:val="0"/>
          <w:spacing w:val="0"/>
        </w:rPr>
        <w:t xml:space="preserve">which is </w:t>
      </w:r>
      <w:r w:rsidR="007D3BEE">
        <w:rPr>
          <w:rStyle w:val="BookTitle"/>
          <w:i w:val="0"/>
          <w:iCs w:val="0"/>
          <w:smallCaps w:val="0"/>
          <w:spacing w:val="0"/>
        </w:rPr>
        <w:t>used by approximately 50 per cent of ADEs to determine the pro-rata wages of supported employees</w:t>
      </w:r>
      <w:r w:rsidR="00E54789">
        <w:rPr>
          <w:rStyle w:val="BookTitle"/>
          <w:i w:val="0"/>
          <w:iCs w:val="0"/>
          <w:smallCaps w:val="0"/>
          <w:spacing w:val="0"/>
        </w:rPr>
        <w:t>,</w:t>
      </w:r>
      <w:r w:rsidR="007D3BEE">
        <w:rPr>
          <w:rStyle w:val="BookTitle"/>
          <w:i w:val="0"/>
          <w:iCs w:val="0"/>
          <w:smallCaps w:val="0"/>
          <w:spacing w:val="0"/>
        </w:rPr>
        <w:t xml:space="preserve"> </w:t>
      </w:r>
      <w:r w:rsidR="003805E9">
        <w:rPr>
          <w:rStyle w:val="BookTitle"/>
          <w:i w:val="0"/>
          <w:iCs w:val="0"/>
          <w:smallCaps w:val="0"/>
          <w:spacing w:val="0"/>
        </w:rPr>
        <w:t xml:space="preserve">is a complex piece of work </w:t>
      </w:r>
      <w:r w:rsidR="005548A1">
        <w:rPr>
          <w:rStyle w:val="BookTitle"/>
          <w:i w:val="0"/>
          <w:iCs w:val="0"/>
          <w:smallCaps w:val="0"/>
          <w:spacing w:val="0"/>
        </w:rPr>
        <w:t>which will require</w:t>
      </w:r>
      <w:r w:rsidR="007D3BEE">
        <w:rPr>
          <w:rStyle w:val="BookTitle"/>
          <w:i w:val="0"/>
          <w:iCs w:val="0"/>
          <w:smallCaps w:val="0"/>
          <w:spacing w:val="0"/>
        </w:rPr>
        <w:t xml:space="preserve"> </w:t>
      </w:r>
      <w:r w:rsidR="005548A1">
        <w:rPr>
          <w:rStyle w:val="BookTitle"/>
          <w:i w:val="0"/>
          <w:iCs w:val="0"/>
          <w:smallCaps w:val="0"/>
          <w:spacing w:val="0"/>
        </w:rPr>
        <w:t xml:space="preserve">the development and implementation of a number of policy and program </w:t>
      </w:r>
      <w:r w:rsidR="007D3BEE">
        <w:rPr>
          <w:rStyle w:val="BookTitle"/>
          <w:i w:val="0"/>
          <w:iCs w:val="0"/>
          <w:smallCaps w:val="0"/>
          <w:spacing w:val="0"/>
        </w:rPr>
        <w:t xml:space="preserve">initiatives </w:t>
      </w:r>
      <w:r w:rsidR="006A0C59">
        <w:rPr>
          <w:rStyle w:val="BookTitle"/>
          <w:i w:val="0"/>
          <w:iCs w:val="0"/>
          <w:smallCaps w:val="0"/>
          <w:spacing w:val="0"/>
        </w:rPr>
        <w:t xml:space="preserve">designed </w:t>
      </w:r>
      <w:r w:rsidR="005548A1">
        <w:rPr>
          <w:rStyle w:val="BookTitle"/>
          <w:i w:val="0"/>
          <w:iCs w:val="0"/>
          <w:smallCaps w:val="0"/>
          <w:spacing w:val="0"/>
        </w:rPr>
        <w:t>to address several interrelated policy</w:t>
      </w:r>
      <w:r w:rsidR="009F2A0A">
        <w:rPr>
          <w:rStyle w:val="BookTitle"/>
          <w:i w:val="0"/>
          <w:iCs w:val="0"/>
          <w:smallCaps w:val="0"/>
          <w:spacing w:val="0"/>
        </w:rPr>
        <w:t xml:space="preserve"> issues</w:t>
      </w:r>
      <w:r w:rsidR="005548A1">
        <w:rPr>
          <w:rStyle w:val="BookTitle"/>
          <w:i w:val="0"/>
          <w:iCs w:val="0"/>
          <w:smallCaps w:val="0"/>
          <w:spacing w:val="0"/>
        </w:rPr>
        <w:t xml:space="preserve">. </w:t>
      </w:r>
      <w:r w:rsidR="000454C8">
        <w:rPr>
          <w:rStyle w:val="BookTitle"/>
          <w:i w:val="0"/>
          <w:iCs w:val="0"/>
          <w:smallCaps w:val="0"/>
          <w:spacing w:val="0"/>
        </w:rPr>
        <w:t xml:space="preserve"> </w:t>
      </w:r>
      <w:r w:rsidR="005548A1">
        <w:rPr>
          <w:rStyle w:val="BookTitle"/>
          <w:i w:val="0"/>
          <w:iCs w:val="0"/>
          <w:smallCaps w:val="0"/>
          <w:spacing w:val="0"/>
        </w:rPr>
        <w:t>These include</w:t>
      </w:r>
      <w:r w:rsidR="00883CA7">
        <w:rPr>
          <w:rStyle w:val="BookTitle"/>
          <w:i w:val="0"/>
          <w:iCs w:val="0"/>
          <w:smallCaps w:val="0"/>
          <w:spacing w:val="0"/>
        </w:rPr>
        <w:t>:</w:t>
      </w:r>
    </w:p>
    <w:p w:rsidR="00883CA7" w:rsidRDefault="005548A1" w:rsidP="007B2F00">
      <w:pPr>
        <w:pStyle w:val="ListParagraph"/>
        <w:numPr>
          <w:ilvl w:val="0"/>
          <w:numId w:val="24"/>
        </w:numPr>
        <w:rPr>
          <w:rStyle w:val="BookTitle"/>
          <w:i w:val="0"/>
          <w:iCs w:val="0"/>
          <w:smallCaps w:val="0"/>
          <w:spacing w:val="0"/>
        </w:rPr>
      </w:pPr>
      <w:r w:rsidRPr="00883CA7">
        <w:rPr>
          <w:rStyle w:val="BookTitle"/>
          <w:i w:val="0"/>
          <w:iCs w:val="0"/>
          <w:smallCaps w:val="0"/>
          <w:spacing w:val="0"/>
        </w:rPr>
        <w:t xml:space="preserve"> </w:t>
      </w:r>
      <w:r w:rsidR="00A77D85" w:rsidRPr="00883CA7">
        <w:rPr>
          <w:rStyle w:val="BookTitle"/>
          <w:i w:val="0"/>
          <w:iCs w:val="0"/>
          <w:smallCaps w:val="0"/>
          <w:spacing w:val="0"/>
        </w:rPr>
        <w:t xml:space="preserve">the </w:t>
      </w:r>
      <w:r w:rsidR="007905FB" w:rsidRPr="00883CA7">
        <w:rPr>
          <w:rStyle w:val="BookTitle"/>
          <w:i w:val="0"/>
          <w:iCs w:val="0"/>
          <w:smallCaps w:val="0"/>
          <w:spacing w:val="0"/>
        </w:rPr>
        <w:t xml:space="preserve">Full Federal Court </w:t>
      </w:r>
      <w:r w:rsidR="009F2A0A" w:rsidRPr="00883CA7">
        <w:rPr>
          <w:rStyle w:val="BookTitle"/>
          <w:i w:val="0"/>
          <w:iCs w:val="0"/>
          <w:smallCaps w:val="0"/>
          <w:spacing w:val="0"/>
        </w:rPr>
        <w:t>judgement</w:t>
      </w:r>
      <w:r w:rsidR="000F1805" w:rsidRPr="00883CA7">
        <w:rPr>
          <w:rStyle w:val="BookTitle"/>
          <w:i w:val="0"/>
          <w:iCs w:val="0"/>
          <w:smallCaps w:val="0"/>
          <w:spacing w:val="0"/>
        </w:rPr>
        <w:t xml:space="preserve"> of</w:t>
      </w:r>
      <w:r w:rsidR="000F1805" w:rsidRPr="00883CA7">
        <w:rPr>
          <w:rStyle w:val="BookTitle"/>
          <w:iCs w:val="0"/>
          <w:smallCaps w:val="0"/>
          <w:spacing w:val="0"/>
        </w:rPr>
        <w:t xml:space="preserve"> </w:t>
      </w:r>
      <w:proofErr w:type="spellStart"/>
      <w:r w:rsidR="000F1805" w:rsidRPr="00883CA7">
        <w:rPr>
          <w:rStyle w:val="BookTitle"/>
          <w:iCs w:val="0"/>
          <w:smallCaps w:val="0"/>
          <w:spacing w:val="0"/>
        </w:rPr>
        <w:t>Nojin</w:t>
      </w:r>
      <w:proofErr w:type="spellEnd"/>
      <w:r w:rsidR="000F1805" w:rsidRPr="00883CA7">
        <w:rPr>
          <w:rStyle w:val="BookTitle"/>
          <w:iCs w:val="0"/>
          <w:smallCaps w:val="0"/>
          <w:spacing w:val="0"/>
        </w:rPr>
        <w:t xml:space="preserve"> &amp; Prior v Commonwealth [2012] FCAFC 192</w:t>
      </w:r>
      <w:r w:rsidR="00883CA7">
        <w:rPr>
          <w:rStyle w:val="BookTitle"/>
          <w:i w:val="0"/>
          <w:iCs w:val="0"/>
          <w:smallCaps w:val="0"/>
          <w:spacing w:val="0"/>
        </w:rPr>
        <w:t xml:space="preserve">; </w:t>
      </w:r>
      <w:r w:rsidR="00A77D85" w:rsidRPr="00883CA7">
        <w:rPr>
          <w:rStyle w:val="BookTitle"/>
          <w:i w:val="0"/>
          <w:iCs w:val="0"/>
          <w:smallCaps w:val="0"/>
          <w:spacing w:val="0"/>
        </w:rPr>
        <w:t xml:space="preserve"> </w:t>
      </w:r>
    </w:p>
    <w:p w:rsidR="000454C8" w:rsidRDefault="000454C8" w:rsidP="007B2F00">
      <w:pPr>
        <w:pStyle w:val="ListParagraph"/>
        <w:numPr>
          <w:ilvl w:val="0"/>
          <w:numId w:val="24"/>
        </w:numPr>
        <w:rPr>
          <w:rStyle w:val="BookTitle"/>
          <w:i w:val="0"/>
          <w:iCs w:val="0"/>
          <w:smallCaps w:val="0"/>
          <w:spacing w:val="0"/>
        </w:rPr>
      </w:pPr>
      <w:r w:rsidRPr="00883CA7">
        <w:rPr>
          <w:rStyle w:val="BookTitle"/>
          <w:i w:val="0"/>
          <w:iCs w:val="0"/>
          <w:smallCaps w:val="0"/>
          <w:spacing w:val="0"/>
        </w:rPr>
        <w:t xml:space="preserve">the </w:t>
      </w:r>
      <w:r w:rsidR="00E80981">
        <w:rPr>
          <w:rStyle w:val="BookTitle"/>
          <w:i w:val="0"/>
          <w:iCs w:val="0"/>
          <w:smallCaps w:val="0"/>
          <w:spacing w:val="0"/>
        </w:rPr>
        <w:t>restricted</w:t>
      </w:r>
      <w:r w:rsidRPr="00883CA7">
        <w:rPr>
          <w:rStyle w:val="BookTitle"/>
          <w:i w:val="0"/>
          <w:iCs w:val="0"/>
          <w:smallCaps w:val="0"/>
          <w:spacing w:val="0"/>
        </w:rPr>
        <w:t xml:space="preserve"> employment options available in mainstream employment for people with disability, especially those with high </w:t>
      </w:r>
      <w:r>
        <w:rPr>
          <w:rStyle w:val="BookTitle"/>
          <w:i w:val="0"/>
          <w:iCs w:val="0"/>
          <w:smallCaps w:val="0"/>
          <w:spacing w:val="0"/>
        </w:rPr>
        <w:t xml:space="preserve">to very high </w:t>
      </w:r>
      <w:r w:rsidRPr="00883CA7">
        <w:rPr>
          <w:rStyle w:val="BookTitle"/>
          <w:i w:val="0"/>
          <w:iCs w:val="0"/>
          <w:smallCaps w:val="0"/>
          <w:spacing w:val="0"/>
        </w:rPr>
        <w:t>support needs</w:t>
      </w:r>
      <w:r>
        <w:rPr>
          <w:rStyle w:val="BookTitle"/>
          <w:i w:val="0"/>
          <w:iCs w:val="0"/>
          <w:smallCaps w:val="0"/>
          <w:spacing w:val="0"/>
        </w:rPr>
        <w:t>;</w:t>
      </w:r>
    </w:p>
    <w:p w:rsidR="00883CA7" w:rsidRDefault="00CD6FDB" w:rsidP="007B2F00">
      <w:pPr>
        <w:pStyle w:val="ListParagraph"/>
        <w:numPr>
          <w:ilvl w:val="0"/>
          <w:numId w:val="24"/>
        </w:numPr>
        <w:rPr>
          <w:rStyle w:val="BookTitle"/>
          <w:i w:val="0"/>
          <w:iCs w:val="0"/>
          <w:smallCaps w:val="0"/>
          <w:spacing w:val="0"/>
        </w:rPr>
      </w:pPr>
      <w:r>
        <w:rPr>
          <w:rStyle w:val="BookTitle"/>
          <w:i w:val="0"/>
          <w:iCs w:val="0"/>
          <w:smallCaps w:val="0"/>
          <w:spacing w:val="0"/>
        </w:rPr>
        <w:t>the changing nature of employment for people with disability</w:t>
      </w:r>
      <w:r w:rsidR="00883CA7">
        <w:rPr>
          <w:rStyle w:val="BookTitle"/>
          <w:i w:val="0"/>
          <w:iCs w:val="0"/>
          <w:smallCaps w:val="0"/>
          <w:spacing w:val="0"/>
        </w:rPr>
        <w:t>;</w:t>
      </w:r>
      <w:r w:rsidR="000454C8">
        <w:rPr>
          <w:rStyle w:val="BookTitle"/>
          <w:i w:val="0"/>
          <w:iCs w:val="0"/>
          <w:smallCaps w:val="0"/>
          <w:spacing w:val="0"/>
        </w:rPr>
        <w:t xml:space="preserve"> and</w:t>
      </w:r>
    </w:p>
    <w:p w:rsidR="00883CA7" w:rsidRDefault="000454C8" w:rsidP="007B2F00">
      <w:pPr>
        <w:pStyle w:val="ListParagraph"/>
        <w:numPr>
          <w:ilvl w:val="0"/>
          <w:numId w:val="24"/>
        </w:numPr>
        <w:rPr>
          <w:rStyle w:val="BookTitle"/>
          <w:i w:val="0"/>
          <w:iCs w:val="0"/>
          <w:smallCaps w:val="0"/>
          <w:spacing w:val="0"/>
        </w:rPr>
      </w:pPr>
      <w:proofErr w:type="gramStart"/>
      <w:r>
        <w:rPr>
          <w:rStyle w:val="BookTitle"/>
          <w:i w:val="0"/>
          <w:iCs w:val="0"/>
          <w:smallCaps w:val="0"/>
          <w:spacing w:val="0"/>
        </w:rPr>
        <w:t>the</w:t>
      </w:r>
      <w:proofErr w:type="gramEnd"/>
      <w:r>
        <w:rPr>
          <w:rStyle w:val="BookTitle"/>
          <w:i w:val="0"/>
          <w:iCs w:val="0"/>
          <w:smallCaps w:val="0"/>
          <w:spacing w:val="0"/>
        </w:rPr>
        <w:t xml:space="preserve"> ongoing </w:t>
      </w:r>
      <w:r w:rsidR="007E10AB" w:rsidRPr="00883CA7">
        <w:rPr>
          <w:rStyle w:val="BookTitle"/>
          <w:i w:val="0"/>
          <w:iCs w:val="0"/>
          <w:smallCaps w:val="0"/>
          <w:spacing w:val="0"/>
        </w:rPr>
        <w:t xml:space="preserve">financial viability </w:t>
      </w:r>
      <w:r w:rsidR="00650309" w:rsidRPr="00883CA7">
        <w:rPr>
          <w:rStyle w:val="BookTitle"/>
          <w:i w:val="0"/>
          <w:iCs w:val="0"/>
          <w:smallCaps w:val="0"/>
          <w:spacing w:val="0"/>
        </w:rPr>
        <w:t xml:space="preserve">of </w:t>
      </w:r>
      <w:r w:rsidR="000F1805" w:rsidRPr="00883CA7">
        <w:rPr>
          <w:rStyle w:val="BookTitle"/>
          <w:i w:val="0"/>
          <w:iCs w:val="0"/>
          <w:smallCaps w:val="0"/>
          <w:spacing w:val="0"/>
        </w:rPr>
        <w:t>the ADE sector</w:t>
      </w:r>
      <w:r w:rsidR="00FE32AB">
        <w:rPr>
          <w:rStyle w:val="BookTitle"/>
          <w:i w:val="0"/>
          <w:iCs w:val="0"/>
          <w:smallCaps w:val="0"/>
          <w:spacing w:val="0"/>
        </w:rPr>
        <w:t>.</w:t>
      </w:r>
    </w:p>
    <w:p w:rsidR="00935885" w:rsidRDefault="0005099E" w:rsidP="00935885">
      <w:pPr>
        <w:rPr>
          <w:rStyle w:val="BookTitle"/>
          <w:i w:val="0"/>
          <w:iCs w:val="0"/>
          <w:smallCaps w:val="0"/>
          <w:spacing w:val="0"/>
        </w:rPr>
      </w:pPr>
      <w:r>
        <w:rPr>
          <w:rStyle w:val="BookTitle"/>
          <w:i w:val="0"/>
          <w:iCs w:val="0"/>
          <w:smallCaps w:val="0"/>
          <w:spacing w:val="0"/>
        </w:rPr>
        <w:t>Despite the complexity of the task</w:t>
      </w:r>
      <w:r w:rsidR="00E54789">
        <w:rPr>
          <w:rStyle w:val="BookTitle"/>
          <w:i w:val="0"/>
          <w:iCs w:val="0"/>
          <w:smallCaps w:val="0"/>
          <w:spacing w:val="0"/>
        </w:rPr>
        <w:t>,</w:t>
      </w:r>
      <w:r>
        <w:rPr>
          <w:rStyle w:val="BookTitle"/>
          <w:i w:val="0"/>
          <w:iCs w:val="0"/>
          <w:smallCaps w:val="0"/>
          <w:spacing w:val="0"/>
        </w:rPr>
        <w:t xml:space="preserve"> the </w:t>
      </w:r>
      <w:r w:rsidR="00842BCE">
        <w:rPr>
          <w:rStyle w:val="BookTitle"/>
          <w:i w:val="0"/>
          <w:iCs w:val="0"/>
          <w:smallCaps w:val="0"/>
          <w:spacing w:val="0"/>
        </w:rPr>
        <w:t xml:space="preserve">Australian </w:t>
      </w:r>
      <w:r w:rsidR="003805E9">
        <w:rPr>
          <w:rStyle w:val="BookTitle"/>
          <w:i w:val="0"/>
          <w:iCs w:val="0"/>
          <w:smallCaps w:val="0"/>
          <w:spacing w:val="0"/>
        </w:rPr>
        <w:t xml:space="preserve">Government </w:t>
      </w:r>
      <w:r w:rsidR="00E80981">
        <w:rPr>
          <w:rStyle w:val="BookTitle"/>
          <w:i w:val="0"/>
          <w:iCs w:val="0"/>
          <w:smallCaps w:val="0"/>
          <w:spacing w:val="0"/>
        </w:rPr>
        <w:t>is</w:t>
      </w:r>
      <w:r w:rsidR="003805E9">
        <w:rPr>
          <w:rStyle w:val="BookTitle"/>
          <w:i w:val="0"/>
          <w:iCs w:val="0"/>
          <w:smallCaps w:val="0"/>
          <w:spacing w:val="0"/>
        </w:rPr>
        <w:t xml:space="preserve"> committed to </w:t>
      </w:r>
      <w:r>
        <w:rPr>
          <w:rStyle w:val="BookTitle"/>
          <w:i w:val="0"/>
          <w:iCs w:val="0"/>
          <w:smallCaps w:val="0"/>
          <w:spacing w:val="0"/>
        </w:rPr>
        <w:t xml:space="preserve">putting in place new wage assessment arrangements for supported employees within </w:t>
      </w:r>
      <w:r w:rsidR="00842BCE">
        <w:rPr>
          <w:rStyle w:val="BookTitle"/>
          <w:i w:val="0"/>
          <w:iCs w:val="0"/>
          <w:smallCaps w:val="0"/>
          <w:spacing w:val="0"/>
        </w:rPr>
        <w:t>three</w:t>
      </w:r>
      <w:r w:rsidR="003805E9">
        <w:rPr>
          <w:rStyle w:val="BookTitle"/>
          <w:i w:val="0"/>
          <w:iCs w:val="0"/>
          <w:smallCaps w:val="0"/>
          <w:spacing w:val="0"/>
        </w:rPr>
        <w:t xml:space="preserve"> years or less.</w:t>
      </w:r>
      <w:r>
        <w:rPr>
          <w:rStyle w:val="BookTitle"/>
          <w:i w:val="0"/>
          <w:iCs w:val="0"/>
          <w:smallCaps w:val="0"/>
          <w:spacing w:val="0"/>
        </w:rPr>
        <w:t xml:space="preserve"> </w:t>
      </w:r>
      <w:r w:rsidR="000454C8">
        <w:rPr>
          <w:rStyle w:val="BookTitle"/>
          <w:i w:val="0"/>
          <w:iCs w:val="0"/>
          <w:smallCaps w:val="0"/>
          <w:spacing w:val="0"/>
        </w:rPr>
        <w:t xml:space="preserve"> </w:t>
      </w:r>
      <w:r>
        <w:rPr>
          <w:rStyle w:val="BookTitle"/>
          <w:i w:val="0"/>
          <w:iCs w:val="0"/>
          <w:smallCaps w:val="0"/>
          <w:spacing w:val="0"/>
        </w:rPr>
        <w:t xml:space="preserve">The Department’s application has been made to provide the necessary time </w:t>
      </w:r>
      <w:r w:rsidR="00E54789">
        <w:rPr>
          <w:rStyle w:val="BookTitle"/>
          <w:i w:val="0"/>
          <w:iCs w:val="0"/>
          <w:smallCaps w:val="0"/>
          <w:spacing w:val="0"/>
        </w:rPr>
        <w:t>for the development and implementation of</w:t>
      </w:r>
      <w:r>
        <w:rPr>
          <w:rStyle w:val="BookTitle"/>
          <w:i w:val="0"/>
          <w:iCs w:val="0"/>
          <w:smallCaps w:val="0"/>
          <w:spacing w:val="0"/>
        </w:rPr>
        <w:t xml:space="preserve"> </w:t>
      </w:r>
      <w:r w:rsidR="00E54789">
        <w:rPr>
          <w:rStyle w:val="BookTitle"/>
          <w:i w:val="0"/>
          <w:iCs w:val="0"/>
          <w:smallCaps w:val="0"/>
          <w:spacing w:val="0"/>
        </w:rPr>
        <w:t>tailored</w:t>
      </w:r>
      <w:r w:rsidR="00B5525C">
        <w:rPr>
          <w:rStyle w:val="BookTitle"/>
          <w:i w:val="0"/>
          <w:iCs w:val="0"/>
          <w:smallCaps w:val="0"/>
          <w:spacing w:val="0"/>
        </w:rPr>
        <w:t xml:space="preserve"> </w:t>
      </w:r>
      <w:r>
        <w:rPr>
          <w:rStyle w:val="BookTitle"/>
          <w:i w:val="0"/>
          <w:iCs w:val="0"/>
          <w:smallCaps w:val="0"/>
          <w:spacing w:val="0"/>
        </w:rPr>
        <w:t>policy solutions for the medium to long-term</w:t>
      </w:r>
      <w:r w:rsidR="00B5525C">
        <w:rPr>
          <w:rStyle w:val="BookTitle"/>
          <w:i w:val="0"/>
          <w:iCs w:val="0"/>
          <w:smallCaps w:val="0"/>
          <w:spacing w:val="0"/>
        </w:rPr>
        <w:t xml:space="preserve">, particularly </w:t>
      </w:r>
      <w:r w:rsidR="00E54789">
        <w:rPr>
          <w:rStyle w:val="BookTitle"/>
          <w:i w:val="0"/>
          <w:iCs w:val="0"/>
          <w:smallCaps w:val="0"/>
          <w:spacing w:val="0"/>
        </w:rPr>
        <w:t>measures</w:t>
      </w:r>
      <w:r w:rsidR="00B5525C">
        <w:rPr>
          <w:rStyle w:val="BookTitle"/>
          <w:i w:val="0"/>
          <w:iCs w:val="0"/>
          <w:smallCaps w:val="0"/>
          <w:spacing w:val="0"/>
        </w:rPr>
        <w:t xml:space="preserve"> which will support </w:t>
      </w:r>
      <w:r w:rsidR="00796009">
        <w:rPr>
          <w:rStyle w:val="BookTitle"/>
          <w:i w:val="0"/>
          <w:iCs w:val="0"/>
          <w:smallCaps w:val="0"/>
          <w:spacing w:val="0"/>
        </w:rPr>
        <w:t xml:space="preserve">stable </w:t>
      </w:r>
      <w:r w:rsidR="00B5525C">
        <w:rPr>
          <w:rStyle w:val="BookTitle"/>
          <w:i w:val="0"/>
          <w:iCs w:val="0"/>
          <w:smallCaps w:val="0"/>
          <w:spacing w:val="0"/>
        </w:rPr>
        <w:t>employment options for people with disability.</w:t>
      </w:r>
      <w:r>
        <w:rPr>
          <w:rStyle w:val="BookTitle"/>
          <w:i w:val="0"/>
          <w:iCs w:val="0"/>
          <w:smallCaps w:val="0"/>
          <w:spacing w:val="0"/>
        </w:rPr>
        <w:t xml:space="preserve"> </w:t>
      </w:r>
    </w:p>
    <w:p w:rsidR="00CD6FDB" w:rsidRDefault="003805E9" w:rsidP="00CD6FDB">
      <w:pPr>
        <w:rPr>
          <w:rStyle w:val="BookTitle"/>
          <w:i w:val="0"/>
          <w:iCs w:val="0"/>
          <w:smallCaps w:val="0"/>
          <w:spacing w:val="0"/>
        </w:rPr>
      </w:pPr>
      <w:r w:rsidRPr="000F1805">
        <w:rPr>
          <w:rStyle w:val="BookTitle"/>
          <w:i w:val="0"/>
          <w:iCs w:val="0"/>
          <w:smallCaps w:val="0"/>
          <w:spacing w:val="0"/>
        </w:rPr>
        <w:t>In the event that the A</w:t>
      </w:r>
      <w:r w:rsidR="00B5525C" w:rsidRPr="000F1805">
        <w:rPr>
          <w:rStyle w:val="BookTitle"/>
          <w:i w:val="0"/>
          <w:iCs w:val="0"/>
          <w:smallCaps w:val="0"/>
          <w:spacing w:val="0"/>
        </w:rPr>
        <w:t xml:space="preserve">ustralian Human Rights Commission (AHRC) </w:t>
      </w:r>
      <w:r w:rsidRPr="000F1805">
        <w:rPr>
          <w:rStyle w:val="BookTitle"/>
          <w:i w:val="0"/>
          <w:iCs w:val="0"/>
          <w:smallCaps w:val="0"/>
          <w:spacing w:val="0"/>
        </w:rPr>
        <w:t xml:space="preserve">does not grant a temporary exemption, </w:t>
      </w:r>
      <w:r w:rsidR="00CD6FDB">
        <w:rPr>
          <w:rStyle w:val="BookTitle"/>
          <w:i w:val="0"/>
          <w:iCs w:val="0"/>
          <w:smallCaps w:val="0"/>
          <w:spacing w:val="0"/>
        </w:rPr>
        <w:t>the Government will need to l</w:t>
      </w:r>
      <w:r w:rsidR="000454C8">
        <w:rPr>
          <w:rStyle w:val="BookTitle"/>
          <w:i w:val="0"/>
          <w:iCs w:val="0"/>
          <w:smallCaps w:val="0"/>
          <w:spacing w:val="0"/>
        </w:rPr>
        <w:t>ook at crisis arrangements.  It</w:t>
      </w:r>
      <w:r w:rsidR="00CD6FDB">
        <w:rPr>
          <w:rStyle w:val="BookTitle"/>
          <w:i w:val="0"/>
          <w:iCs w:val="0"/>
          <w:smallCaps w:val="0"/>
          <w:spacing w:val="0"/>
        </w:rPr>
        <w:t xml:space="preserve"> is likely the impact on supported employees will be </w:t>
      </w:r>
      <w:r w:rsidR="000454C8">
        <w:rPr>
          <w:rStyle w:val="BookTitle"/>
          <w:i w:val="0"/>
          <w:iCs w:val="0"/>
          <w:smallCaps w:val="0"/>
          <w:spacing w:val="0"/>
        </w:rPr>
        <w:t>i</w:t>
      </w:r>
      <w:r w:rsidR="00CD6FDB">
        <w:rPr>
          <w:rStyle w:val="BookTitle"/>
          <w:i w:val="0"/>
          <w:iCs w:val="0"/>
          <w:smallCaps w:val="0"/>
          <w:spacing w:val="0"/>
        </w:rPr>
        <w:t>ncreased instability of employment, the closure of some ADEs</w:t>
      </w:r>
      <w:r w:rsidR="000454C8">
        <w:rPr>
          <w:rStyle w:val="BookTitle"/>
          <w:i w:val="0"/>
          <w:iCs w:val="0"/>
          <w:smallCaps w:val="0"/>
          <w:spacing w:val="0"/>
        </w:rPr>
        <w:t xml:space="preserve"> and </w:t>
      </w:r>
      <w:r w:rsidR="00CD6FDB">
        <w:rPr>
          <w:rStyle w:val="BookTitle"/>
          <w:i w:val="0"/>
          <w:iCs w:val="0"/>
          <w:smallCaps w:val="0"/>
          <w:spacing w:val="0"/>
        </w:rPr>
        <w:t>consequential job losses</w:t>
      </w:r>
      <w:r w:rsidR="000454C8">
        <w:rPr>
          <w:rStyle w:val="BookTitle"/>
          <w:i w:val="0"/>
          <w:iCs w:val="0"/>
          <w:smallCaps w:val="0"/>
          <w:spacing w:val="0"/>
        </w:rPr>
        <w:t xml:space="preserve"> and reduced employment options leading to increased social isolation for people with disability, particularly those with high support needs.  In turn, this could </w:t>
      </w:r>
      <w:r w:rsidR="00FE32AB">
        <w:rPr>
          <w:rStyle w:val="BookTitle"/>
          <w:i w:val="0"/>
          <w:iCs w:val="0"/>
          <w:smallCaps w:val="0"/>
          <w:spacing w:val="0"/>
        </w:rPr>
        <w:t xml:space="preserve">increase demands on </w:t>
      </w:r>
      <w:r w:rsidR="00796009">
        <w:rPr>
          <w:rStyle w:val="BookTitle"/>
          <w:i w:val="0"/>
          <w:iCs w:val="0"/>
          <w:smallCaps w:val="0"/>
          <w:spacing w:val="0"/>
        </w:rPr>
        <w:t xml:space="preserve">many </w:t>
      </w:r>
      <w:r w:rsidR="000454C8">
        <w:rPr>
          <w:rStyle w:val="BookTitle"/>
          <w:i w:val="0"/>
          <w:iCs w:val="0"/>
          <w:smallCaps w:val="0"/>
          <w:spacing w:val="0"/>
        </w:rPr>
        <w:t>families and carers.</w:t>
      </w:r>
    </w:p>
    <w:p w:rsidR="00CA7C17" w:rsidRDefault="00E80981" w:rsidP="00CA7C17">
      <w:pPr>
        <w:rPr>
          <w:rStyle w:val="BookTitle"/>
          <w:i w:val="0"/>
          <w:iCs w:val="0"/>
          <w:smallCaps w:val="0"/>
          <w:spacing w:val="0"/>
        </w:rPr>
      </w:pPr>
      <w:r>
        <w:rPr>
          <w:rStyle w:val="BookTitle"/>
          <w:i w:val="0"/>
          <w:iCs w:val="0"/>
          <w:smallCaps w:val="0"/>
          <w:spacing w:val="0"/>
        </w:rPr>
        <w:t>If</w:t>
      </w:r>
      <w:r w:rsidR="00AD4C33">
        <w:rPr>
          <w:rStyle w:val="BookTitle"/>
          <w:i w:val="0"/>
          <w:iCs w:val="0"/>
          <w:smallCaps w:val="0"/>
          <w:spacing w:val="0"/>
        </w:rPr>
        <w:t xml:space="preserve"> a temporary exemption is granted </w:t>
      </w:r>
      <w:r w:rsidR="000454C8">
        <w:rPr>
          <w:rStyle w:val="BookTitle"/>
          <w:i w:val="0"/>
          <w:iCs w:val="0"/>
          <w:smallCaps w:val="0"/>
          <w:spacing w:val="0"/>
        </w:rPr>
        <w:t xml:space="preserve">it </w:t>
      </w:r>
      <w:r w:rsidR="00CA7C17">
        <w:rPr>
          <w:rStyle w:val="BookTitle"/>
          <w:i w:val="0"/>
          <w:iCs w:val="0"/>
          <w:smallCaps w:val="0"/>
          <w:spacing w:val="0"/>
        </w:rPr>
        <w:t>would allow a</w:t>
      </w:r>
      <w:r w:rsidR="007905FB">
        <w:rPr>
          <w:rStyle w:val="BookTitle"/>
          <w:i w:val="0"/>
          <w:iCs w:val="0"/>
          <w:smallCaps w:val="0"/>
          <w:spacing w:val="0"/>
        </w:rPr>
        <w:t xml:space="preserve"> planned</w:t>
      </w:r>
      <w:r w:rsidR="00CA7C17">
        <w:rPr>
          <w:rStyle w:val="BookTitle"/>
          <w:i w:val="0"/>
          <w:iCs w:val="0"/>
          <w:smallCaps w:val="0"/>
          <w:spacing w:val="0"/>
        </w:rPr>
        <w:t xml:space="preserve"> transition to new </w:t>
      </w:r>
      <w:r>
        <w:rPr>
          <w:rStyle w:val="BookTitle"/>
          <w:i w:val="0"/>
          <w:iCs w:val="0"/>
          <w:smallCaps w:val="0"/>
          <w:spacing w:val="0"/>
        </w:rPr>
        <w:t xml:space="preserve">wage assessment </w:t>
      </w:r>
      <w:r w:rsidR="005072A9">
        <w:rPr>
          <w:rStyle w:val="BookTitle"/>
          <w:i w:val="0"/>
          <w:iCs w:val="0"/>
          <w:smallCaps w:val="0"/>
          <w:spacing w:val="0"/>
        </w:rPr>
        <w:t>arrangements</w:t>
      </w:r>
      <w:r w:rsidR="000454C8">
        <w:rPr>
          <w:rStyle w:val="BookTitle"/>
          <w:i w:val="0"/>
          <w:iCs w:val="0"/>
          <w:smallCaps w:val="0"/>
          <w:spacing w:val="0"/>
        </w:rPr>
        <w:t>,</w:t>
      </w:r>
      <w:r w:rsidR="00CA7C17">
        <w:rPr>
          <w:rStyle w:val="BookTitle"/>
          <w:i w:val="0"/>
          <w:iCs w:val="0"/>
          <w:smallCaps w:val="0"/>
          <w:spacing w:val="0"/>
        </w:rPr>
        <w:t xml:space="preserve"> </w:t>
      </w:r>
      <w:r w:rsidR="000454C8">
        <w:rPr>
          <w:rStyle w:val="BookTitle"/>
          <w:i w:val="0"/>
          <w:iCs w:val="0"/>
          <w:smallCaps w:val="0"/>
          <w:spacing w:val="0"/>
        </w:rPr>
        <w:t>allow</w:t>
      </w:r>
      <w:r w:rsidR="00266477">
        <w:rPr>
          <w:rStyle w:val="BookTitle"/>
          <w:i w:val="0"/>
          <w:iCs w:val="0"/>
          <w:smallCaps w:val="0"/>
          <w:spacing w:val="0"/>
        </w:rPr>
        <w:t xml:space="preserve"> for the </w:t>
      </w:r>
      <w:r w:rsidR="00CA7C17">
        <w:rPr>
          <w:rStyle w:val="BookTitle"/>
          <w:i w:val="0"/>
          <w:iCs w:val="0"/>
          <w:smallCaps w:val="0"/>
          <w:spacing w:val="0"/>
        </w:rPr>
        <w:t>implement</w:t>
      </w:r>
      <w:r w:rsidR="004D6D7B">
        <w:rPr>
          <w:rStyle w:val="BookTitle"/>
          <w:i w:val="0"/>
          <w:iCs w:val="0"/>
          <w:smallCaps w:val="0"/>
          <w:spacing w:val="0"/>
        </w:rPr>
        <w:t>at</w:t>
      </w:r>
      <w:r w:rsidR="00CA7C17">
        <w:rPr>
          <w:rStyle w:val="BookTitle"/>
          <w:i w:val="0"/>
          <w:iCs w:val="0"/>
          <w:smallCaps w:val="0"/>
          <w:spacing w:val="0"/>
        </w:rPr>
        <w:t>i</w:t>
      </w:r>
      <w:r w:rsidR="00266477">
        <w:rPr>
          <w:rStyle w:val="BookTitle"/>
          <w:i w:val="0"/>
          <w:iCs w:val="0"/>
          <w:smallCaps w:val="0"/>
          <w:spacing w:val="0"/>
        </w:rPr>
        <w:t>on</w:t>
      </w:r>
      <w:r w:rsidR="00CA7C17">
        <w:rPr>
          <w:rStyle w:val="BookTitle"/>
          <w:i w:val="0"/>
          <w:iCs w:val="0"/>
          <w:smallCaps w:val="0"/>
          <w:spacing w:val="0"/>
        </w:rPr>
        <w:t xml:space="preserve"> </w:t>
      </w:r>
      <w:r w:rsidR="00266477">
        <w:rPr>
          <w:rStyle w:val="BookTitle"/>
          <w:i w:val="0"/>
          <w:iCs w:val="0"/>
          <w:smallCaps w:val="0"/>
          <w:spacing w:val="0"/>
        </w:rPr>
        <w:t xml:space="preserve">of </w:t>
      </w:r>
      <w:r w:rsidR="00210299">
        <w:rPr>
          <w:rStyle w:val="BookTitle"/>
          <w:i w:val="0"/>
          <w:iCs w:val="0"/>
          <w:smallCaps w:val="0"/>
          <w:spacing w:val="0"/>
        </w:rPr>
        <w:t xml:space="preserve">reforms to </w:t>
      </w:r>
      <w:r w:rsidR="00266477">
        <w:rPr>
          <w:rStyle w:val="BookTitle"/>
          <w:i w:val="0"/>
          <w:iCs w:val="0"/>
          <w:smallCaps w:val="0"/>
          <w:spacing w:val="0"/>
        </w:rPr>
        <w:t xml:space="preserve">build the </w:t>
      </w:r>
      <w:r w:rsidR="00CA7C17">
        <w:rPr>
          <w:rStyle w:val="BookTitle"/>
          <w:i w:val="0"/>
          <w:iCs w:val="0"/>
          <w:smallCaps w:val="0"/>
          <w:spacing w:val="0"/>
        </w:rPr>
        <w:t xml:space="preserve">viability </w:t>
      </w:r>
      <w:r w:rsidR="005072A9">
        <w:rPr>
          <w:rStyle w:val="BookTitle"/>
          <w:i w:val="0"/>
          <w:iCs w:val="0"/>
          <w:smallCaps w:val="0"/>
          <w:spacing w:val="0"/>
        </w:rPr>
        <w:t xml:space="preserve">and capacity </w:t>
      </w:r>
      <w:r w:rsidR="00266477">
        <w:rPr>
          <w:rStyle w:val="BookTitle"/>
          <w:i w:val="0"/>
          <w:iCs w:val="0"/>
          <w:smallCaps w:val="0"/>
          <w:spacing w:val="0"/>
        </w:rPr>
        <w:t>of</w:t>
      </w:r>
      <w:r w:rsidR="00CA7C17">
        <w:rPr>
          <w:rStyle w:val="BookTitle"/>
          <w:i w:val="0"/>
          <w:iCs w:val="0"/>
          <w:smallCaps w:val="0"/>
          <w:spacing w:val="0"/>
        </w:rPr>
        <w:t xml:space="preserve"> the </w:t>
      </w:r>
      <w:r w:rsidR="005072A9">
        <w:rPr>
          <w:rStyle w:val="BookTitle"/>
          <w:i w:val="0"/>
          <w:iCs w:val="0"/>
          <w:smallCaps w:val="0"/>
          <w:spacing w:val="0"/>
        </w:rPr>
        <w:t xml:space="preserve">ADE </w:t>
      </w:r>
      <w:r w:rsidR="00CA7C17">
        <w:rPr>
          <w:rStyle w:val="BookTitle"/>
          <w:i w:val="0"/>
          <w:iCs w:val="0"/>
          <w:smallCaps w:val="0"/>
          <w:spacing w:val="0"/>
        </w:rPr>
        <w:t>sector</w:t>
      </w:r>
      <w:r w:rsidR="00266477">
        <w:rPr>
          <w:rStyle w:val="BookTitle"/>
          <w:i w:val="0"/>
          <w:iCs w:val="0"/>
          <w:smallCaps w:val="0"/>
          <w:spacing w:val="0"/>
        </w:rPr>
        <w:t xml:space="preserve"> to </w:t>
      </w:r>
      <w:r w:rsidR="00210299">
        <w:rPr>
          <w:rStyle w:val="BookTitle"/>
          <w:i w:val="0"/>
          <w:iCs w:val="0"/>
          <w:smallCaps w:val="0"/>
          <w:spacing w:val="0"/>
        </w:rPr>
        <w:t xml:space="preserve">pay higher wages </w:t>
      </w:r>
      <w:r w:rsidR="00796009">
        <w:rPr>
          <w:rStyle w:val="BookTitle"/>
          <w:i w:val="0"/>
          <w:iCs w:val="0"/>
          <w:smallCaps w:val="0"/>
          <w:spacing w:val="0"/>
        </w:rPr>
        <w:t>while continuing</w:t>
      </w:r>
      <w:r w:rsidR="005072A9">
        <w:rPr>
          <w:rStyle w:val="BookTitle"/>
          <w:i w:val="0"/>
          <w:iCs w:val="0"/>
          <w:smallCaps w:val="0"/>
          <w:spacing w:val="0"/>
        </w:rPr>
        <w:t xml:space="preserve"> to provide employment options to people with disability, especially those with high support needs</w:t>
      </w:r>
      <w:r w:rsidR="00210299">
        <w:rPr>
          <w:rStyle w:val="BookTitle"/>
          <w:i w:val="0"/>
          <w:iCs w:val="0"/>
          <w:smallCaps w:val="0"/>
          <w:spacing w:val="0"/>
        </w:rPr>
        <w:t>.</w:t>
      </w:r>
      <w:r w:rsidR="00EF356F">
        <w:rPr>
          <w:rStyle w:val="BookTitle"/>
          <w:i w:val="0"/>
          <w:iCs w:val="0"/>
          <w:smallCaps w:val="0"/>
          <w:spacing w:val="0"/>
        </w:rPr>
        <w:t xml:space="preserve"> </w:t>
      </w:r>
      <w:r w:rsidR="00D209A3">
        <w:rPr>
          <w:rStyle w:val="BookTitle"/>
          <w:i w:val="0"/>
          <w:iCs w:val="0"/>
          <w:smallCaps w:val="0"/>
          <w:spacing w:val="0"/>
        </w:rPr>
        <w:t xml:space="preserve">Sustainable employment opportunities delivering improved wage outcomes will only be possible in financially robust ADE businesses. There is a very high risk that an inability to deliver strong business outcomes to pay improved wages will result in widespread business closure and </w:t>
      </w:r>
      <w:proofErr w:type="gramStart"/>
      <w:r w:rsidR="00D209A3">
        <w:rPr>
          <w:rStyle w:val="BookTitle"/>
          <w:i w:val="0"/>
          <w:iCs w:val="0"/>
          <w:smallCaps w:val="0"/>
          <w:spacing w:val="0"/>
        </w:rPr>
        <w:t>resulting</w:t>
      </w:r>
      <w:proofErr w:type="gramEnd"/>
      <w:r w:rsidR="00D209A3">
        <w:rPr>
          <w:rStyle w:val="BookTitle"/>
          <w:i w:val="0"/>
          <w:iCs w:val="0"/>
          <w:smallCaps w:val="0"/>
          <w:spacing w:val="0"/>
        </w:rPr>
        <w:t xml:space="preserve"> unemployment for this group of workers. </w:t>
      </w:r>
    </w:p>
    <w:p w:rsidR="00CC385B" w:rsidRPr="00F664F8" w:rsidRDefault="00CC385B" w:rsidP="00CC385B">
      <w:r w:rsidRPr="00F664F8">
        <w:t>It should also be noted that the ADE sector employs around 4000 additional workers to deliver support to people with disability; and administration and business functions.</w:t>
      </w:r>
    </w:p>
    <w:p w:rsidR="009637AE" w:rsidRDefault="009637AE">
      <w:pPr>
        <w:rPr>
          <w:rStyle w:val="BookTitle"/>
          <w:b/>
          <w:i w:val="0"/>
          <w:iCs w:val="0"/>
          <w:smallCaps w:val="0"/>
          <w:spacing w:val="0"/>
        </w:rPr>
      </w:pPr>
      <w:r>
        <w:rPr>
          <w:rStyle w:val="BookTitle"/>
          <w:b/>
          <w:i w:val="0"/>
          <w:iCs w:val="0"/>
          <w:smallCaps w:val="0"/>
          <w:spacing w:val="0"/>
        </w:rPr>
        <w:br w:type="page"/>
      </w:r>
    </w:p>
    <w:p w:rsidR="008011AC" w:rsidRPr="00F34FE7" w:rsidRDefault="008011AC" w:rsidP="00CA7C1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lastRenderedPageBreak/>
        <w:t>What are the arguments for and against the use of the Supported Wage System (SWS) as an alternative to the BSWAT?</w:t>
      </w:r>
    </w:p>
    <w:p w:rsidR="005F291F" w:rsidRPr="00F34FE7" w:rsidRDefault="005F291F" w:rsidP="005F291F">
      <w:pPr>
        <w:rPr>
          <w:rStyle w:val="BookTitle"/>
          <w:i w:val="0"/>
          <w:iCs w:val="0"/>
          <w:smallCaps w:val="0"/>
          <w:spacing w:val="0"/>
        </w:rPr>
      </w:pPr>
      <w:r w:rsidRPr="00F34FE7">
        <w:rPr>
          <w:rStyle w:val="BookTitle"/>
          <w:i w:val="0"/>
          <w:iCs w:val="0"/>
          <w:smallCaps w:val="0"/>
          <w:spacing w:val="0"/>
        </w:rPr>
        <w:t xml:space="preserve">Arguments for the use of </w:t>
      </w:r>
      <w:r w:rsidR="00FE2653" w:rsidRPr="00F34FE7">
        <w:rPr>
          <w:rStyle w:val="BookTitle"/>
          <w:i w:val="0"/>
          <w:iCs w:val="0"/>
          <w:smallCaps w:val="0"/>
          <w:spacing w:val="0"/>
        </w:rPr>
        <w:t>the Supported Wage System (</w:t>
      </w:r>
      <w:r w:rsidRPr="00F34FE7">
        <w:rPr>
          <w:rStyle w:val="BookTitle"/>
          <w:i w:val="0"/>
          <w:iCs w:val="0"/>
          <w:smallCaps w:val="0"/>
          <w:spacing w:val="0"/>
        </w:rPr>
        <w:t>SWS</w:t>
      </w:r>
      <w:r w:rsidR="00FE2653" w:rsidRPr="00F34FE7">
        <w:rPr>
          <w:rStyle w:val="BookTitle"/>
          <w:i w:val="0"/>
          <w:iCs w:val="0"/>
          <w:smallCaps w:val="0"/>
          <w:spacing w:val="0"/>
        </w:rPr>
        <w:t>)</w:t>
      </w:r>
      <w:r w:rsidRPr="00F34FE7">
        <w:rPr>
          <w:rStyle w:val="BookTitle"/>
          <w:i w:val="0"/>
          <w:iCs w:val="0"/>
          <w:smallCaps w:val="0"/>
          <w:spacing w:val="0"/>
        </w:rPr>
        <w:t xml:space="preserve"> as an alternative to the BSWAT:</w:t>
      </w:r>
    </w:p>
    <w:p w:rsidR="00ED3DC3" w:rsidRDefault="00935885" w:rsidP="006B26C9">
      <w:pPr>
        <w:pStyle w:val="ListParagraph"/>
        <w:numPr>
          <w:ilvl w:val="0"/>
          <w:numId w:val="13"/>
        </w:numPr>
        <w:ind w:left="709" w:hanging="283"/>
        <w:rPr>
          <w:rStyle w:val="BookTitle"/>
          <w:i w:val="0"/>
          <w:iCs w:val="0"/>
          <w:smallCaps w:val="0"/>
          <w:spacing w:val="0"/>
        </w:rPr>
      </w:pPr>
      <w:r w:rsidRPr="00935885">
        <w:rPr>
          <w:rStyle w:val="BookTitle"/>
          <w:i w:val="0"/>
          <w:iCs w:val="0"/>
          <w:smallCaps w:val="0"/>
          <w:spacing w:val="0"/>
        </w:rPr>
        <w:t xml:space="preserve">SWS </w:t>
      </w:r>
      <w:proofErr w:type="gramStart"/>
      <w:r w:rsidRPr="00935885">
        <w:rPr>
          <w:rStyle w:val="BookTitle"/>
          <w:i w:val="0"/>
          <w:iCs w:val="0"/>
          <w:smallCaps w:val="0"/>
          <w:spacing w:val="0"/>
        </w:rPr>
        <w:t>is</w:t>
      </w:r>
      <w:proofErr w:type="gramEnd"/>
      <w:r w:rsidRPr="00935885">
        <w:rPr>
          <w:rStyle w:val="BookTitle"/>
          <w:i w:val="0"/>
          <w:iCs w:val="0"/>
          <w:smallCaps w:val="0"/>
          <w:spacing w:val="0"/>
        </w:rPr>
        <w:t xml:space="preserve"> owned by the Australian Government and is an authorised tool under the </w:t>
      </w:r>
      <w:r w:rsidRPr="009637AE">
        <w:rPr>
          <w:rStyle w:val="BookTitle"/>
          <w:iCs w:val="0"/>
          <w:smallCaps w:val="0"/>
          <w:spacing w:val="0"/>
        </w:rPr>
        <w:t>Supported Employment Services Award 2010</w:t>
      </w:r>
      <w:r w:rsidRPr="00935885">
        <w:rPr>
          <w:rStyle w:val="BookTitle"/>
          <w:i w:val="0"/>
          <w:iCs w:val="0"/>
          <w:smallCaps w:val="0"/>
          <w:spacing w:val="0"/>
        </w:rPr>
        <w:t>.  It is used to determine pro-rata wages for people with disability in open employment and it is also currently used by a small number of Australian Disability Enterprises (ADEs) to determine wages for supported employees</w:t>
      </w:r>
      <w:r>
        <w:rPr>
          <w:rStyle w:val="BookTitle"/>
          <w:i w:val="0"/>
          <w:iCs w:val="0"/>
          <w:smallCaps w:val="0"/>
          <w:spacing w:val="0"/>
        </w:rPr>
        <w:t xml:space="preserve">. Adoption of the SWS as an alternative to the BSWAT would bring supported employment in line with </w:t>
      </w:r>
      <w:r w:rsidR="00D249F9">
        <w:rPr>
          <w:rStyle w:val="BookTitle"/>
          <w:i w:val="0"/>
          <w:iCs w:val="0"/>
          <w:smallCaps w:val="0"/>
          <w:spacing w:val="0"/>
        </w:rPr>
        <w:t xml:space="preserve">the </w:t>
      </w:r>
      <w:r>
        <w:rPr>
          <w:rStyle w:val="BookTitle"/>
          <w:i w:val="0"/>
          <w:iCs w:val="0"/>
          <w:smallCaps w:val="0"/>
          <w:spacing w:val="0"/>
        </w:rPr>
        <w:t xml:space="preserve">mainstream labour market in terms of how </w:t>
      </w:r>
      <w:r w:rsidR="00842BCE">
        <w:rPr>
          <w:rStyle w:val="BookTitle"/>
          <w:i w:val="0"/>
          <w:iCs w:val="0"/>
          <w:smallCaps w:val="0"/>
          <w:spacing w:val="0"/>
        </w:rPr>
        <w:br/>
      </w:r>
      <w:r>
        <w:rPr>
          <w:rStyle w:val="BookTitle"/>
          <w:i w:val="0"/>
          <w:iCs w:val="0"/>
          <w:smallCaps w:val="0"/>
          <w:spacing w:val="0"/>
        </w:rPr>
        <w:t>pro-rata wages are assessed</w:t>
      </w:r>
      <w:r w:rsidR="001C324A">
        <w:rPr>
          <w:rStyle w:val="BookTitle"/>
          <w:i w:val="0"/>
          <w:iCs w:val="0"/>
          <w:smallCaps w:val="0"/>
          <w:spacing w:val="0"/>
        </w:rPr>
        <w:t xml:space="preserve"> and would entitle s</w:t>
      </w:r>
      <w:r w:rsidR="00D249F9">
        <w:rPr>
          <w:rStyle w:val="BookTitle"/>
          <w:i w:val="0"/>
          <w:iCs w:val="0"/>
          <w:smallCaps w:val="0"/>
          <w:spacing w:val="0"/>
        </w:rPr>
        <w:t>upported employees to the same industrial rights as other employees</w:t>
      </w:r>
      <w:r w:rsidR="00ED3DC3">
        <w:rPr>
          <w:rStyle w:val="BookTitle"/>
          <w:i w:val="0"/>
          <w:iCs w:val="0"/>
          <w:smallCaps w:val="0"/>
          <w:spacing w:val="0"/>
        </w:rPr>
        <w:t xml:space="preserve">. </w:t>
      </w:r>
    </w:p>
    <w:p w:rsidR="00935885" w:rsidRDefault="00ED3DC3" w:rsidP="006B26C9">
      <w:pPr>
        <w:pStyle w:val="ListParagraph"/>
        <w:numPr>
          <w:ilvl w:val="0"/>
          <w:numId w:val="13"/>
        </w:numPr>
        <w:ind w:left="709" w:hanging="283"/>
        <w:rPr>
          <w:rStyle w:val="BookTitle"/>
          <w:i w:val="0"/>
          <w:iCs w:val="0"/>
          <w:smallCaps w:val="0"/>
          <w:spacing w:val="0"/>
        </w:rPr>
      </w:pPr>
      <w:r>
        <w:rPr>
          <w:rStyle w:val="BookTitle"/>
          <w:i w:val="0"/>
          <w:iCs w:val="0"/>
          <w:smallCaps w:val="0"/>
          <w:spacing w:val="0"/>
        </w:rPr>
        <w:t xml:space="preserve">The use of SWS would </w:t>
      </w:r>
      <w:r w:rsidR="00820887">
        <w:rPr>
          <w:rStyle w:val="BookTitle"/>
          <w:i w:val="0"/>
          <w:iCs w:val="0"/>
          <w:smallCaps w:val="0"/>
          <w:spacing w:val="0"/>
        </w:rPr>
        <w:t xml:space="preserve">likely </w:t>
      </w:r>
      <w:r>
        <w:rPr>
          <w:rStyle w:val="BookTitle"/>
          <w:i w:val="0"/>
          <w:iCs w:val="0"/>
          <w:smallCaps w:val="0"/>
          <w:spacing w:val="0"/>
        </w:rPr>
        <w:t xml:space="preserve">result </w:t>
      </w:r>
      <w:r w:rsidR="004B69F0">
        <w:rPr>
          <w:rStyle w:val="BookTitle"/>
          <w:i w:val="0"/>
          <w:iCs w:val="0"/>
          <w:smallCaps w:val="0"/>
          <w:spacing w:val="0"/>
        </w:rPr>
        <w:t>in higher wages for the majority of supported employees</w:t>
      </w:r>
      <w:r>
        <w:rPr>
          <w:rStyle w:val="BookTitle"/>
          <w:i w:val="0"/>
          <w:iCs w:val="0"/>
          <w:smallCaps w:val="0"/>
          <w:spacing w:val="0"/>
        </w:rPr>
        <w:t xml:space="preserve">, although there would be a </w:t>
      </w:r>
      <w:r w:rsidR="00586D93">
        <w:rPr>
          <w:rStyle w:val="BookTitle"/>
          <w:i w:val="0"/>
          <w:iCs w:val="0"/>
          <w:smallCaps w:val="0"/>
          <w:spacing w:val="0"/>
        </w:rPr>
        <w:t xml:space="preserve">small </w:t>
      </w:r>
      <w:r>
        <w:rPr>
          <w:rStyle w:val="BookTitle"/>
          <w:i w:val="0"/>
          <w:iCs w:val="0"/>
          <w:smallCaps w:val="0"/>
          <w:spacing w:val="0"/>
        </w:rPr>
        <w:t xml:space="preserve">group </w:t>
      </w:r>
      <w:r w:rsidR="00DE52E6">
        <w:rPr>
          <w:rStyle w:val="BookTitle"/>
          <w:i w:val="0"/>
          <w:iCs w:val="0"/>
          <w:smallCaps w:val="0"/>
          <w:spacing w:val="0"/>
        </w:rPr>
        <w:t>who would be disadvantaged</w:t>
      </w:r>
      <w:r w:rsidR="004B69F0">
        <w:rPr>
          <w:rStyle w:val="BookTitle"/>
          <w:i w:val="0"/>
          <w:iCs w:val="0"/>
          <w:smallCaps w:val="0"/>
          <w:spacing w:val="0"/>
        </w:rPr>
        <w:t>.</w:t>
      </w:r>
      <w:r w:rsidR="00D249F9">
        <w:rPr>
          <w:rStyle w:val="BookTitle"/>
          <w:i w:val="0"/>
          <w:iCs w:val="0"/>
          <w:smallCaps w:val="0"/>
          <w:spacing w:val="0"/>
        </w:rPr>
        <w:t xml:space="preserve"> </w:t>
      </w:r>
      <w:r w:rsidR="00586D93">
        <w:rPr>
          <w:rStyle w:val="BookTitle"/>
          <w:i w:val="0"/>
          <w:iCs w:val="0"/>
          <w:smallCaps w:val="0"/>
          <w:spacing w:val="0"/>
        </w:rPr>
        <w:t xml:space="preserve"> </w:t>
      </w:r>
      <w:r w:rsidR="00DE52E6">
        <w:rPr>
          <w:rStyle w:val="BookTitle"/>
          <w:i w:val="0"/>
          <w:iCs w:val="0"/>
          <w:smallCaps w:val="0"/>
          <w:spacing w:val="0"/>
        </w:rPr>
        <w:t>This is explained under the BSWAT section.</w:t>
      </w:r>
    </w:p>
    <w:p w:rsidR="005F291F" w:rsidRDefault="00FE2653" w:rsidP="006B26C9">
      <w:pPr>
        <w:pStyle w:val="ListParagraph"/>
        <w:numPr>
          <w:ilvl w:val="0"/>
          <w:numId w:val="13"/>
        </w:numPr>
        <w:ind w:left="709" w:hanging="283"/>
        <w:rPr>
          <w:rStyle w:val="BookTitle"/>
          <w:i w:val="0"/>
          <w:iCs w:val="0"/>
          <w:smallCaps w:val="0"/>
          <w:spacing w:val="0"/>
        </w:rPr>
      </w:pPr>
      <w:r w:rsidRPr="00935885">
        <w:rPr>
          <w:rStyle w:val="BookTitle"/>
          <w:i w:val="0"/>
          <w:iCs w:val="0"/>
          <w:smallCaps w:val="0"/>
          <w:spacing w:val="0"/>
        </w:rPr>
        <w:t>SWS</w:t>
      </w:r>
      <w:r w:rsidR="005F291F" w:rsidRPr="00935885">
        <w:rPr>
          <w:rStyle w:val="BookTitle"/>
          <w:i w:val="0"/>
          <w:iCs w:val="0"/>
          <w:smallCaps w:val="0"/>
          <w:spacing w:val="0"/>
        </w:rPr>
        <w:t xml:space="preserve"> measures productivity only and therefore its use </w:t>
      </w:r>
      <w:proofErr w:type="gramStart"/>
      <w:r w:rsidR="00DD5DD9" w:rsidRPr="00935885">
        <w:rPr>
          <w:rStyle w:val="BookTitle"/>
          <w:i w:val="0"/>
          <w:iCs w:val="0"/>
          <w:smallCaps w:val="0"/>
          <w:spacing w:val="0"/>
        </w:rPr>
        <w:t>is</w:t>
      </w:r>
      <w:proofErr w:type="gramEnd"/>
      <w:r w:rsidR="00DD5DD9" w:rsidRPr="00935885">
        <w:rPr>
          <w:rStyle w:val="BookTitle"/>
          <w:i w:val="0"/>
          <w:iCs w:val="0"/>
          <w:smallCaps w:val="0"/>
          <w:spacing w:val="0"/>
        </w:rPr>
        <w:t xml:space="preserve"> less likely to </w:t>
      </w:r>
      <w:r w:rsidR="005F291F" w:rsidRPr="00935885">
        <w:rPr>
          <w:rStyle w:val="BookTitle"/>
          <w:i w:val="0"/>
          <w:iCs w:val="0"/>
          <w:smallCaps w:val="0"/>
          <w:spacing w:val="0"/>
        </w:rPr>
        <w:t>be open to future claims of discrimination</w:t>
      </w:r>
      <w:r w:rsidR="00586D93">
        <w:rPr>
          <w:rStyle w:val="BookTitle"/>
          <w:i w:val="0"/>
          <w:iCs w:val="0"/>
          <w:smallCaps w:val="0"/>
          <w:spacing w:val="0"/>
        </w:rPr>
        <w:t xml:space="preserve">.  </w:t>
      </w:r>
      <w:r w:rsidR="005F291F" w:rsidRPr="00935885">
        <w:rPr>
          <w:rStyle w:val="BookTitle"/>
          <w:i w:val="0"/>
          <w:iCs w:val="0"/>
          <w:smallCaps w:val="0"/>
          <w:spacing w:val="0"/>
        </w:rPr>
        <w:t>The use of SWS is the preferred option for most advocacy services.</w:t>
      </w:r>
    </w:p>
    <w:p w:rsidR="00935885" w:rsidRPr="00935885" w:rsidRDefault="00935885" w:rsidP="00CA7C17">
      <w:pPr>
        <w:pStyle w:val="ListParagraph"/>
        <w:ind w:left="709"/>
        <w:rPr>
          <w:rStyle w:val="BookTitle"/>
          <w:i w:val="0"/>
          <w:iCs w:val="0"/>
          <w:smallCaps w:val="0"/>
          <w:spacing w:val="0"/>
        </w:rPr>
      </w:pPr>
    </w:p>
    <w:p w:rsidR="005F291F" w:rsidRPr="00F34FE7" w:rsidRDefault="005F291F" w:rsidP="005F291F">
      <w:pPr>
        <w:rPr>
          <w:rStyle w:val="BookTitle"/>
          <w:i w:val="0"/>
          <w:iCs w:val="0"/>
          <w:smallCaps w:val="0"/>
          <w:spacing w:val="0"/>
        </w:rPr>
      </w:pPr>
      <w:r w:rsidRPr="00F34FE7">
        <w:rPr>
          <w:rStyle w:val="BookTitle"/>
          <w:i w:val="0"/>
          <w:iCs w:val="0"/>
          <w:smallCaps w:val="0"/>
          <w:spacing w:val="0"/>
        </w:rPr>
        <w:t xml:space="preserve">Arguments against the use of SWS as an </w:t>
      </w:r>
      <w:r w:rsidR="00E27EBC">
        <w:rPr>
          <w:rStyle w:val="BookTitle"/>
          <w:i w:val="0"/>
          <w:iCs w:val="0"/>
          <w:smallCaps w:val="0"/>
          <w:spacing w:val="0"/>
        </w:rPr>
        <w:t>alternative to the BSWAT:</w:t>
      </w:r>
    </w:p>
    <w:p w:rsidR="00586D93" w:rsidRPr="00FF7B79" w:rsidRDefault="00586D93" w:rsidP="00586D93">
      <w:pPr>
        <w:pStyle w:val="ListParagraph"/>
        <w:numPr>
          <w:ilvl w:val="0"/>
          <w:numId w:val="8"/>
        </w:numPr>
        <w:rPr>
          <w:rStyle w:val="BookTitle"/>
          <w:i w:val="0"/>
          <w:iCs w:val="0"/>
          <w:smallCaps w:val="0"/>
          <w:spacing w:val="0"/>
        </w:rPr>
      </w:pPr>
      <w:r w:rsidRPr="00FF7B79">
        <w:rPr>
          <w:rStyle w:val="BookTitle"/>
          <w:i w:val="0"/>
          <w:iCs w:val="0"/>
          <w:smallCaps w:val="0"/>
          <w:spacing w:val="0"/>
        </w:rPr>
        <w:t xml:space="preserve">It </w:t>
      </w:r>
      <w:r w:rsidR="00E01D1B">
        <w:rPr>
          <w:rStyle w:val="BookTitle"/>
          <w:i w:val="0"/>
          <w:iCs w:val="0"/>
          <w:smallCaps w:val="0"/>
          <w:spacing w:val="0"/>
        </w:rPr>
        <w:t>has been suggested</w:t>
      </w:r>
      <w:r w:rsidRPr="00FF7B79">
        <w:rPr>
          <w:rStyle w:val="BookTitle"/>
          <w:i w:val="0"/>
          <w:iCs w:val="0"/>
          <w:smallCaps w:val="0"/>
          <w:spacing w:val="0"/>
        </w:rPr>
        <w:t xml:space="preserve"> that those supported employees with the highest support needs would fall out of employment because it would no longer be economically viable to employ this group.</w:t>
      </w:r>
      <w:r>
        <w:rPr>
          <w:rStyle w:val="BookTitle"/>
          <w:i w:val="0"/>
          <w:iCs w:val="0"/>
          <w:smallCaps w:val="0"/>
          <w:spacing w:val="0"/>
        </w:rPr>
        <w:t xml:space="preserve"> A key factor in this likely outcome is that m</w:t>
      </w:r>
      <w:r w:rsidRPr="00FF7B79">
        <w:rPr>
          <w:rStyle w:val="BookTitle"/>
          <w:i w:val="0"/>
          <w:iCs w:val="0"/>
          <w:smallCaps w:val="0"/>
          <w:spacing w:val="0"/>
        </w:rPr>
        <w:t xml:space="preserve">any jobs in the ADE sector are significantly pared back beyond the definition of Grade 1 or Grade 2 contained in the relevant Industrial Award. The </w:t>
      </w:r>
      <w:r>
        <w:rPr>
          <w:rStyle w:val="BookTitle"/>
          <w:i w:val="0"/>
          <w:iCs w:val="0"/>
          <w:smallCaps w:val="0"/>
          <w:spacing w:val="0"/>
        </w:rPr>
        <w:t>simplification of jobs</w:t>
      </w:r>
      <w:r w:rsidRPr="00FF7B79">
        <w:rPr>
          <w:rStyle w:val="BookTitle"/>
          <w:i w:val="0"/>
          <w:iCs w:val="0"/>
          <w:smallCaps w:val="0"/>
          <w:spacing w:val="0"/>
        </w:rPr>
        <w:t xml:space="preserve"> is not reflected in the SWS wage assessment process. For example, a worker in open employment may perform several duties with several subcomponent tasks. Employment for a worker in an ADE may involve just one task with one subcomponent. </w:t>
      </w:r>
    </w:p>
    <w:p w:rsidR="00E80981" w:rsidRDefault="003174DA" w:rsidP="00586D93">
      <w:pPr>
        <w:pStyle w:val="ListParagraph"/>
        <w:numPr>
          <w:ilvl w:val="0"/>
          <w:numId w:val="8"/>
        </w:numPr>
      </w:pPr>
      <w:r>
        <w:t xml:space="preserve">Another reason </w:t>
      </w:r>
      <w:r w:rsidR="00E01D1B">
        <w:t xml:space="preserve">put forward </w:t>
      </w:r>
      <w:r>
        <w:t xml:space="preserve">why employees with the highest support needs may fall out of employment is because </w:t>
      </w:r>
      <w:r w:rsidR="00E01D1B">
        <w:t xml:space="preserve">it is </w:t>
      </w:r>
      <w:r w:rsidR="00E80981">
        <w:t>possible</w:t>
      </w:r>
      <w:r w:rsidR="00E01D1B">
        <w:t xml:space="preserve"> that the</w:t>
      </w:r>
      <w:r>
        <w:t xml:space="preserve"> productivity only measure available through the SWS </w:t>
      </w:r>
      <w:r w:rsidR="00E80981">
        <w:t>may</w:t>
      </w:r>
      <w:r>
        <w:t xml:space="preserve"> not provide an accurate indication of true productivity of </w:t>
      </w:r>
      <w:r w:rsidR="00E80981">
        <w:t>some</w:t>
      </w:r>
      <w:r>
        <w:t xml:space="preserve"> employees</w:t>
      </w:r>
      <w:r w:rsidR="00E01D1B">
        <w:t xml:space="preserve">. </w:t>
      </w:r>
      <w:r>
        <w:t xml:space="preserve"> </w:t>
      </w:r>
      <w:r w:rsidR="00E01D1B">
        <w:t xml:space="preserve">The </w:t>
      </w:r>
      <w:r w:rsidR="00E01D1B" w:rsidRPr="00F34FE7">
        <w:t>period of time used for the SWS assessment is relatively short</w:t>
      </w:r>
      <w:r w:rsidR="00E01D1B">
        <w:t xml:space="preserve"> and a</w:t>
      </w:r>
      <w:r w:rsidR="00E01D1B" w:rsidRPr="00F34FE7">
        <w:t xml:space="preserve"> supported employee may be able to demonstrate a productivity level for a short period of time which cannot be s</w:t>
      </w:r>
      <w:r w:rsidR="00E01D1B">
        <w:t xml:space="preserve">ustained over a longer period.  </w:t>
      </w:r>
    </w:p>
    <w:p w:rsidR="00586D93" w:rsidRPr="00E80981" w:rsidRDefault="00E01D1B" w:rsidP="00586D93">
      <w:pPr>
        <w:pStyle w:val="ListParagraph"/>
        <w:numPr>
          <w:ilvl w:val="0"/>
          <w:numId w:val="8"/>
        </w:numPr>
        <w:rPr>
          <w:rStyle w:val="BookTitle"/>
          <w:i w:val="0"/>
          <w:iCs w:val="0"/>
          <w:smallCaps w:val="0"/>
          <w:spacing w:val="0"/>
        </w:rPr>
      </w:pPr>
      <w:r w:rsidRPr="00E80981">
        <w:rPr>
          <w:rStyle w:val="BookTitle"/>
          <w:i w:val="0"/>
          <w:iCs w:val="0"/>
          <w:smallCaps w:val="0"/>
          <w:spacing w:val="0"/>
        </w:rPr>
        <w:t xml:space="preserve">It is also worth noting the requirement of the </w:t>
      </w:r>
      <w:r w:rsidR="00586D93" w:rsidRPr="00E80981">
        <w:rPr>
          <w:rStyle w:val="BookTitle"/>
          <w:iCs w:val="0"/>
          <w:smallCaps w:val="0"/>
          <w:spacing w:val="0"/>
        </w:rPr>
        <w:t>Supported Employment Services Modern Award 2010</w:t>
      </w:r>
      <w:r w:rsidR="00586D93" w:rsidRPr="00E80981">
        <w:rPr>
          <w:rStyle w:val="BookTitle"/>
          <w:i w:val="0"/>
          <w:iCs w:val="0"/>
          <w:smallCaps w:val="0"/>
          <w:spacing w:val="0"/>
        </w:rPr>
        <w:t xml:space="preserve"> </w:t>
      </w:r>
      <w:r w:rsidRPr="00E80981">
        <w:rPr>
          <w:rStyle w:val="BookTitle"/>
          <w:i w:val="0"/>
          <w:iCs w:val="0"/>
          <w:smallCaps w:val="0"/>
          <w:spacing w:val="0"/>
        </w:rPr>
        <w:t>to pay a</w:t>
      </w:r>
      <w:r w:rsidR="00586D93" w:rsidRPr="00E80981">
        <w:rPr>
          <w:rStyle w:val="BookTitle"/>
          <w:i w:val="0"/>
          <w:iCs w:val="0"/>
          <w:smallCaps w:val="0"/>
          <w:spacing w:val="0"/>
        </w:rPr>
        <w:t xml:space="preserve"> minimum weekly wage of at least $78.00 to all employees assessed by SWS regardless of hours worked</w:t>
      </w:r>
      <w:r w:rsidR="00067306">
        <w:rPr>
          <w:rStyle w:val="BookTitle"/>
          <w:i w:val="0"/>
          <w:iCs w:val="0"/>
          <w:smallCaps w:val="0"/>
          <w:spacing w:val="0"/>
        </w:rPr>
        <w:t>. This could possibly</w:t>
      </w:r>
      <w:r w:rsidRPr="00E80981">
        <w:rPr>
          <w:rStyle w:val="BookTitle"/>
          <w:i w:val="0"/>
          <w:iCs w:val="0"/>
          <w:smallCaps w:val="0"/>
          <w:spacing w:val="0"/>
        </w:rPr>
        <w:t xml:space="preserve"> </w:t>
      </w:r>
      <w:r w:rsidR="00586D93" w:rsidRPr="00E80981">
        <w:rPr>
          <w:rStyle w:val="BookTitle"/>
          <w:i w:val="0"/>
          <w:iCs w:val="0"/>
          <w:smallCaps w:val="0"/>
          <w:spacing w:val="0"/>
        </w:rPr>
        <w:t xml:space="preserve">result in </w:t>
      </w:r>
      <w:r w:rsidR="00067306">
        <w:rPr>
          <w:rStyle w:val="BookTitle"/>
          <w:i w:val="0"/>
          <w:iCs w:val="0"/>
          <w:smallCaps w:val="0"/>
          <w:spacing w:val="0"/>
        </w:rPr>
        <w:t xml:space="preserve">some </w:t>
      </w:r>
      <w:r w:rsidR="00586D93" w:rsidRPr="00E80981">
        <w:rPr>
          <w:rStyle w:val="BookTitle"/>
          <w:i w:val="0"/>
          <w:iCs w:val="0"/>
          <w:smallCaps w:val="0"/>
          <w:spacing w:val="0"/>
        </w:rPr>
        <w:t xml:space="preserve">supported employees </w:t>
      </w:r>
      <w:r w:rsidR="009637AE" w:rsidRPr="00E80981">
        <w:rPr>
          <w:rStyle w:val="BookTitle"/>
          <w:i w:val="0"/>
          <w:iCs w:val="0"/>
          <w:smallCaps w:val="0"/>
          <w:spacing w:val="0"/>
        </w:rPr>
        <w:t>who work</w:t>
      </w:r>
      <w:r w:rsidR="00067306">
        <w:rPr>
          <w:rStyle w:val="BookTitle"/>
          <w:i w:val="0"/>
          <w:iCs w:val="0"/>
          <w:smallCaps w:val="0"/>
          <w:spacing w:val="0"/>
        </w:rPr>
        <w:t xml:space="preserve"> low</w:t>
      </w:r>
      <w:r w:rsidRPr="00E80981">
        <w:rPr>
          <w:rStyle w:val="BookTitle"/>
          <w:i w:val="0"/>
          <w:iCs w:val="0"/>
          <w:smallCaps w:val="0"/>
          <w:spacing w:val="0"/>
        </w:rPr>
        <w:t xml:space="preserve"> part-</w:t>
      </w:r>
      <w:r w:rsidR="00586D93" w:rsidRPr="00E80981">
        <w:rPr>
          <w:rStyle w:val="BookTitle"/>
          <w:i w:val="0"/>
          <w:iCs w:val="0"/>
          <w:smallCaps w:val="0"/>
          <w:spacing w:val="0"/>
        </w:rPr>
        <w:t>time hours being at r</w:t>
      </w:r>
      <w:r w:rsidRPr="00E80981">
        <w:rPr>
          <w:rStyle w:val="BookTitle"/>
          <w:i w:val="0"/>
          <w:iCs w:val="0"/>
          <w:smallCaps w:val="0"/>
          <w:spacing w:val="0"/>
        </w:rPr>
        <w:t>isk of losing their employment</w:t>
      </w:r>
      <w:r w:rsidR="00067306">
        <w:rPr>
          <w:rStyle w:val="BookTitle"/>
          <w:i w:val="0"/>
          <w:iCs w:val="0"/>
          <w:smallCaps w:val="0"/>
          <w:spacing w:val="0"/>
        </w:rPr>
        <w:t xml:space="preserve"> if the minimum weekly wage was more than the wage they would otherwise have been assessed as being entitled to. </w:t>
      </w:r>
      <w:r w:rsidR="009637AE" w:rsidRPr="00E80981">
        <w:rPr>
          <w:rStyle w:val="BookTitle"/>
          <w:i w:val="0"/>
          <w:iCs w:val="0"/>
          <w:smallCaps w:val="0"/>
          <w:spacing w:val="0"/>
        </w:rPr>
        <w:t xml:space="preserve">  </w:t>
      </w:r>
    </w:p>
    <w:p w:rsidR="005333CE" w:rsidRDefault="00CA7C17" w:rsidP="00D878BA">
      <w:pPr>
        <w:pStyle w:val="ListParagraph"/>
        <w:numPr>
          <w:ilvl w:val="0"/>
          <w:numId w:val="8"/>
        </w:numPr>
        <w:rPr>
          <w:rStyle w:val="BookTitle"/>
          <w:i w:val="0"/>
          <w:iCs w:val="0"/>
          <w:smallCaps w:val="0"/>
          <w:spacing w:val="0"/>
        </w:rPr>
      </w:pPr>
      <w:r w:rsidRPr="00E80981">
        <w:rPr>
          <w:rStyle w:val="BookTitle"/>
          <w:i w:val="0"/>
          <w:iCs w:val="0"/>
          <w:smallCaps w:val="0"/>
          <w:spacing w:val="0"/>
        </w:rPr>
        <w:t>Initial data</w:t>
      </w:r>
      <w:r w:rsidR="00D878BA" w:rsidRPr="00E80981">
        <w:rPr>
          <w:rStyle w:val="BookTitle"/>
          <w:i w:val="0"/>
          <w:iCs w:val="0"/>
          <w:smallCaps w:val="0"/>
          <w:spacing w:val="0"/>
        </w:rPr>
        <w:t xml:space="preserve"> indicates that there would be a significant increase in </w:t>
      </w:r>
      <w:r w:rsidR="00E27EBC" w:rsidRPr="00E80981">
        <w:rPr>
          <w:rStyle w:val="BookTitle"/>
          <w:i w:val="0"/>
          <w:iCs w:val="0"/>
          <w:smallCaps w:val="0"/>
          <w:spacing w:val="0"/>
        </w:rPr>
        <w:t>the wages of supported employees</w:t>
      </w:r>
      <w:r w:rsidR="00D878BA" w:rsidRPr="00E80981">
        <w:rPr>
          <w:rStyle w:val="BookTitle"/>
          <w:i w:val="0"/>
          <w:iCs w:val="0"/>
          <w:smallCaps w:val="0"/>
          <w:spacing w:val="0"/>
        </w:rPr>
        <w:t xml:space="preserve"> for ADEs transitioning to using SWS.  </w:t>
      </w:r>
    </w:p>
    <w:p w:rsidR="005333CE" w:rsidRDefault="005333CE">
      <w:pPr>
        <w:rPr>
          <w:rStyle w:val="BookTitle"/>
          <w:i w:val="0"/>
          <w:iCs w:val="0"/>
          <w:smallCaps w:val="0"/>
          <w:spacing w:val="0"/>
        </w:rPr>
      </w:pPr>
      <w:r>
        <w:rPr>
          <w:rStyle w:val="BookTitle"/>
          <w:i w:val="0"/>
          <w:iCs w:val="0"/>
          <w:smallCaps w:val="0"/>
          <w:spacing w:val="0"/>
        </w:rPr>
        <w:br w:type="page"/>
      </w:r>
    </w:p>
    <w:p w:rsidR="00D878BA" w:rsidRPr="00E80981" w:rsidRDefault="00CA7C17" w:rsidP="00D878BA">
      <w:pPr>
        <w:pStyle w:val="ListParagraph"/>
        <w:numPr>
          <w:ilvl w:val="0"/>
          <w:numId w:val="8"/>
        </w:numPr>
        <w:rPr>
          <w:rStyle w:val="BookTitle"/>
          <w:i w:val="0"/>
          <w:iCs w:val="0"/>
          <w:smallCaps w:val="0"/>
          <w:spacing w:val="0"/>
        </w:rPr>
      </w:pPr>
      <w:r w:rsidRPr="00E80981">
        <w:rPr>
          <w:rStyle w:val="BookTitle"/>
          <w:i w:val="0"/>
          <w:iCs w:val="0"/>
          <w:smallCaps w:val="0"/>
          <w:spacing w:val="0"/>
        </w:rPr>
        <w:lastRenderedPageBreak/>
        <w:t xml:space="preserve">The risk of ADE closures </w:t>
      </w:r>
      <w:r w:rsidR="00D209A3">
        <w:rPr>
          <w:rStyle w:val="BookTitle"/>
          <w:i w:val="0"/>
          <w:iCs w:val="0"/>
          <w:smallCaps w:val="0"/>
          <w:spacing w:val="0"/>
        </w:rPr>
        <w:t xml:space="preserve">resulting unemployment </w:t>
      </w:r>
      <w:r w:rsidRPr="00E80981">
        <w:rPr>
          <w:rStyle w:val="BookTitle"/>
          <w:i w:val="0"/>
          <w:iCs w:val="0"/>
          <w:smallCaps w:val="0"/>
          <w:spacing w:val="0"/>
        </w:rPr>
        <w:t xml:space="preserve">is a significant concern for people with disability, their </w:t>
      </w:r>
      <w:r w:rsidR="009637AE" w:rsidRPr="00E80981">
        <w:rPr>
          <w:rStyle w:val="BookTitle"/>
          <w:i w:val="0"/>
          <w:iCs w:val="0"/>
          <w:smallCaps w:val="0"/>
          <w:spacing w:val="0"/>
        </w:rPr>
        <w:t>families</w:t>
      </w:r>
      <w:r w:rsidRPr="00E80981">
        <w:rPr>
          <w:rStyle w:val="BookTitle"/>
          <w:i w:val="0"/>
          <w:iCs w:val="0"/>
          <w:smallCaps w:val="0"/>
          <w:spacing w:val="0"/>
        </w:rPr>
        <w:t xml:space="preserve"> and carers, especially in circumstances where there would be limited alternative employment options</w:t>
      </w:r>
      <w:r w:rsidR="00890796" w:rsidRPr="00E80981">
        <w:rPr>
          <w:rStyle w:val="BookTitle"/>
          <w:i w:val="0"/>
          <w:iCs w:val="0"/>
          <w:smallCaps w:val="0"/>
          <w:spacing w:val="0"/>
        </w:rPr>
        <w:t xml:space="preserve"> (for example, in rural and regional Australia). </w:t>
      </w:r>
    </w:p>
    <w:p w:rsidR="003C0BF3" w:rsidRPr="00F34FE7" w:rsidRDefault="003C0BF3" w:rsidP="003C0BF3">
      <w:pPr>
        <w:pStyle w:val="ListParagraph"/>
        <w:rPr>
          <w:rStyle w:val="BookTitle"/>
          <w:i w:val="0"/>
          <w:iCs w:val="0"/>
          <w:smallCaps w:val="0"/>
          <w:spacing w:val="0"/>
        </w:rPr>
      </w:pPr>
    </w:p>
    <w:p w:rsidR="00CA7C17" w:rsidRDefault="00DF694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steps/processes would need to be undertaken to implement the SWS immediately?</w:t>
      </w:r>
      <w:r w:rsidR="00077045" w:rsidRPr="00F34FE7">
        <w:rPr>
          <w:rStyle w:val="BookTitle"/>
          <w:b/>
          <w:i w:val="0"/>
          <w:iCs w:val="0"/>
          <w:smallCaps w:val="0"/>
          <w:spacing w:val="0"/>
        </w:rPr>
        <w:t xml:space="preserve"> </w:t>
      </w:r>
    </w:p>
    <w:p w:rsidR="00077045" w:rsidRPr="00F34FE7" w:rsidRDefault="00077045"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How long would </w:t>
      </w:r>
      <w:proofErr w:type="gramStart"/>
      <w:r w:rsidRPr="00F34FE7">
        <w:rPr>
          <w:rStyle w:val="BookTitle"/>
          <w:b/>
          <w:i w:val="0"/>
          <w:iCs w:val="0"/>
          <w:smallCaps w:val="0"/>
          <w:spacing w:val="0"/>
        </w:rPr>
        <w:t>these</w:t>
      </w:r>
      <w:proofErr w:type="gramEnd"/>
      <w:r w:rsidRPr="00F34FE7">
        <w:rPr>
          <w:rStyle w:val="BookTitle"/>
          <w:b/>
          <w:i w:val="0"/>
          <w:iCs w:val="0"/>
          <w:smallCaps w:val="0"/>
          <w:spacing w:val="0"/>
        </w:rPr>
        <w:t xml:space="preserve"> steps/process take?</w:t>
      </w:r>
    </w:p>
    <w:p w:rsidR="008856B7" w:rsidRPr="00F34FE7" w:rsidRDefault="008856B7" w:rsidP="008856B7">
      <w:pPr>
        <w:pStyle w:val="ListParagraph"/>
        <w:ind w:left="426"/>
        <w:rPr>
          <w:rStyle w:val="BookTitle"/>
          <w:b/>
          <w:i w:val="0"/>
          <w:iCs w:val="0"/>
          <w:smallCaps w:val="0"/>
          <w:spacing w:val="0"/>
        </w:rPr>
      </w:pPr>
    </w:p>
    <w:p w:rsidR="00077045" w:rsidRPr="00F34FE7" w:rsidRDefault="00077045" w:rsidP="00077045">
      <w:pPr>
        <w:pStyle w:val="ListParagraph"/>
        <w:numPr>
          <w:ilvl w:val="0"/>
          <w:numId w:val="1"/>
        </w:numPr>
        <w:rPr>
          <w:rStyle w:val="BookTitle"/>
          <w:i w:val="0"/>
          <w:iCs w:val="0"/>
          <w:smallCaps w:val="0"/>
          <w:spacing w:val="0"/>
        </w:rPr>
      </w:pPr>
      <w:r w:rsidRPr="00F34FE7">
        <w:rPr>
          <w:rStyle w:val="BookTitle"/>
          <w:i w:val="0"/>
          <w:iCs w:val="0"/>
          <w:smallCaps w:val="0"/>
          <w:spacing w:val="0"/>
        </w:rPr>
        <w:t>Transitioning from BSWAT to SWS would take some time</w:t>
      </w:r>
      <w:r w:rsidR="005B0FF7" w:rsidRPr="00F34FE7">
        <w:rPr>
          <w:rStyle w:val="BookTitle"/>
          <w:i w:val="0"/>
          <w:iCs w:val="0"/>
          <w:smallCaps w:val="0"/>
          <w:spacing w:val="0"/>
        </w:rPr>
        <w:t>. A</w:t>
      </w:r>
      <w:r w:rsidRPr="00F34FE7">
        <w:rPr>
          <w:rStyle w:val="BookTitle"/>
          <w:i w:val="0"/>
          <w:iCs w:val="0"/>
          <w:smallCaps w:val="0"/>
          <w:spacing w:val="0"/>
        </w:rPr>
        <w:t xml:space="preserve"> number of significant pieces of work would need to be carried </w:t>
      </w:r>
      <w:r w:rsidR="00D730AC" w:rsidRPr="00F34FE7">
        <w:rPr>
          <w:rStyle w:val="BookTitle"/>
          <w:i w:val="0"/>
          <w:iCs w:val="0"/>
          <w:smallCaps w:val="0"/>
          <w:spacing w:val="0"/>
        </w:rPr>
        <w:t>out</w:t>
      </w:r>
      <w:r w:rsidR="00CB361D">
        <w:rPr>
          <w:rStyle w:val="BookTitle"/>
          <w:i w:val="0"/>
          <w:iCs w:val="0"/>
          <w:smallCaps w:val="0"/>
          <w:spacing w:val="0"/>
        </w:rPr>
        <w:t>,</w:t>
      </w:r>
      <w:r w:rsidR="00D730AC" w:rsidRPr="00F34FE7">
        <w:rPr>
          <w:rStyle w:val="BookTitle"/>
          <w:i w:val="0"/>
          <w:iCs w:val="0"/>
          <w:smallCaps w:val="0"/>
          <w:spacing w:val="0"/>
        </w:rPr>
        <w:t xml:space="preserve"> in consultation with </w:t>
      </w:r>
      <w:r w:rsidR="002976FC" w:rsidRPr="00F34FE7">
        <w:rPr>
          <w:rStyle w:val="BookTitle"/>
          <w:i w:val="0"/>
          <w:iCs w:val="0"/>
          <w:smallCaps w:val="0"/>
          <w:spacing w:val="0"/>
        </w:rPr>
        <w:t xml:space="preserve">all </w:t>
      </w:r>
      <w:r w:rsidR="00D730AC" w:rsidRPr="00F34FE7">
        <w:rPr>
          <w:rStyle w:val="BookTitle"/>
          <w:i w:val="0"/>
          <w:iCs w:val="0"/>
          <w:smallCaps w:val="0"/>
          <w:spacing w:val="0"/>
        </w:rPr>
        <w:t>stakeholders</w:t>
      </w:r>
      <w:r w:rsidR="00CB361D">
        <w:rPr>
          <w:rStyle w:val="BookTitle"/>
          <w:i w:val="0"/>
          <w:iCs w:val="0"/>
          <w:smallCaps w:val="0"/>
          <w:spacing w:val="0"/>
        </w:rPr>
        <w:t>,</w:t>
      </w:r>
      <w:r w:rsidR="00D730AC" w:rsidRPr="00F34FE7">
        <w:rPr>
          <w:rStyle w:val="BookTitle"/>
          <w:i w:val="0"/>
          <w:iCs w:val="0"/>
          <w:smallCaps w:val="0"/>
          <w:spacing w:val="0"/>
        </w:rPr>
        <w:t xml:space="preserve"> </w:t>
      </w:r>
      <w:r w:rsidRPr="00F34FE7">
        <w:rPr>
          <w:rStyle w:val="BookTitle"/>
          <w:i w:val="0"/>
          <w:iCs w:val="0"/>
          <w:smallCaps w:val="0"/>
          <w:spacing w:val="0"/>
        </w:rPr>
        <w:t xml:space="preserve">to </w:t>
      </w:r>
      <w:r w:rsidR="005B0FF7" w:rsidRPr="00F34FE7">
        <w:rPr>
          <w:rStyle w:val="BookTitle"/>
          <w:i w:val="0"/>
          <w:iCs w:val="0"/>
          <w:smallCaps w:val="0"/>
          <w:spacing w:val="0"/>
        </w:rPr>
        <w:t>ensure</w:t>
      </w:r>
      <w:r w:rsidRPr="00F34FE7">
        <w:rPr>
          <w:rStyle w:val="BookTitle"/>
          <w:i w:val="0"/>
          <w:iCs w:val="0"/>
          <w:smallCaps w:val="0"/>
          <w:spacing w:val="0"/>
        </w:rPr>
        <w:t xml:space="preserve"> successful implementation</w:t>
      </w:r>
      <w:r w:rsidR="005B0FF7" w:rsidRPr="00F34FE7">
        <w:rPr>
          <w:rStyle w:val="BookTitle"/>
          <w:i w:val="0"/>
          <w:iCs w:val="0"/>
          <w:smallCaps w:val="0"/>
          <w:spacing w:val="0"/>
        </w:rPr>
        <w:t xml:space="preserve"> of the SWS and continuing viability of the </w:t>
      </w:r>
      <w:r w:rsidR="00CB361D">
        <w:rPr>
          <w:rStyle w:val="BookTitle"/>
          <w:i w:val="0"/>
          <w:iCs w:val="0"/>
          <w:smallCaps w:val="0"/>
          <w:spacing w:val="0"/>
        </w:rPr>
        <w:t xml:space="preserve">ADE </w:t>
      </w:r>
      <w:r w:rsidR="005B0FF7" w:rsidRPr="00F34FE7">
        <w:rPr>
          <w:rStyle w:val="BookTitle"/>
          <w:i w:val="0"/>
          <w:iCs w:val="0"/>
          <w:smallCaps w:val="0"/>
          <w:spacing w:val="0"/>
        </w:rPr>
        <w:t>sector</w:t>
      </w:r>
      <w:r w:rsidR="00961AB3">
        <w:rPr>
          <w:rStyle w:val="BookTitle"/>
          <w:i w:val="0"/>
          <w:iCs w:val="0"/>
          <w:smallCaps w:val="0"/>
          <w:spacing w:val="0"/>
        </w:rPr>
        <w:t>. This work would need to include:</w:t>
      </w:r>
      <w:r w:rsidR="005B0FF7" w:rsidRPr="00F34FE7">
        <w:rPr>
          <w:rStyle w:val="BookTitle"/>
          <w:i w:val="0"/>
          <w:iCs w:val="0"/>
          <w:smallCaps w:val="0"/>
          <w:spacing w:val="0"/>
        </w:rPr>
        <w:t xml:space="preserve"> </w:t>
      </w:r>
    </w:p>
    <w:p w:rsidR="00961AB3" w:rsidRDefault="00982E22" w:rsidP="00077045">
      <w:pPr>
        <w:pStyle w:val="ListParagraph"/>
        <w:numPr>
          <w:ilvl w:val="1"/>
          <w:numId w:val="15"/>
        </w:numPr>
        <w:rPr>
          <w:rStyle w:val="BookTitle"/>
          <w:i w:val="0"/>
          <w:iCs w:val="0"/>
          <w:smallCaps w:val="0"/>
          <w:spacing w:val="0"/>
        </w:rPr>
      </w:pPr>
      <w:proofErr w:type="gramStart"/>
      <w:r w:rsidRPr="001C324A">
        <w:rPr>
          <w:rStyle w:val="BookTitle"/>
          <w:i w:val="0"/>
          <w:iCs w:val="0"/>
          <w:smallCaps w:val="0"/>
          <w:spacing w:val="0"/>
        </w:rPr>
        <w:t>b</w:t>
      </w:r>
      <w:r w:rsidR="00077045" w:rsidRPr="001C324A">
        <w:rPr>
          <w:rStyle w:val="BookTitle"/>
          <w:i w:val="0"/>
          <w:iCs w:val="0"/>
          <w:smallCaps w:val="0"/>
          <w:spacing w:val="0"/>
        </w:rPr>
        <w:t>uilding</w:t>
      </w:r>
      <w:proofErr w:type="gramEnd"/>
      <w:r w:rsidR="00077045" w:rsidRPr="001C324A">
        <w:rPr>
          <w:rStyle w:val="BookTitle"/>
          <w:i w:val="0"/>
          <w:iCs w:val="0"/>
          <w:smallCaps w:val="0"/>
          <w:spacing w:val="0"/>
        </w:rPr>
        <w:t xml:space="preserve"> capacity of </w:t>
      </w:r>
      <w:r w:rsidR="005B0FF7" w:rsidRPr="001C324A">
        <w:rPr>
          <w:rStyle w:val="BookTitle"/>
          <w:i w:val="0"/>
          <w:iCs w:val="0"/>
          <w:smallCaps w:val="0"/>
          <w:spacing w:val="0"/>
        </w:rPr>
        <w:t xml:space="preserve">SWS </w:t>
      </w:r>
      <w:r w:rsidR="00077045" w:rsidRPr="001C324A">
        <w:rPr>
          <w:rStyle w:val="BookTitle"/>
          <w:i w:val="0"/>
          <w:iCs w:val="0"/>
          <w:smallCaps w:val="0"/>
          <w:spacing w:val="0"/>
        </w:rPr>
        <w:t>assessors</w:t>
      </w:r>
      <w:r w:rsidR="00A370BD" w:rsidRPr="001C324A">
        <w:rPr>
          <w:rStyle w:val="BookTitle"/>
          <w:i w:val="0"/>
          <w:iCs w:val="0"/>
          <w:smallCaps w:val="0"/>
          <w:spacing w:val="0"/>
        </w:rPr>
        <w:t>, scheduling</w:t>
      </w:r>
      <w:r w:rsidR="00077045" w:rsidRPr="001C324A">
        <w:rPr>
          <w:rStyle w:val="BookTitle"/>
          <w:i w:val="0"/>
          <w:iCs w:val="0"/>
          <w:smallCaps w:val="0"/>
          <w:spacing w:val="0"/>
        </w:rPr>
        <w:t xml:space="preserve"> </w:t>
      </w:r>
      <w:r w:rsidR="002976FC" w:rsidRPr="001C324A">
        <w:rPr>
          <w:rStyle w:val="BookTitle"/>
          <w:i w:val="0"/>
          <w:iCs w:val="0"/>
          <w:smallCaps w:val="0"/>
          <w:spacing w:val="0"/>
        </w:rPr>
        <w:t>and undertaking an addition</w:t>
      </w:r>
      <w:r w:rsidR="00961AB3">
        <w:rPr>
          <w:rStyle w:val="BookTitle"/>
          <w:i w:val="0"/>
          <w:iCs w:val="0"/>
          <w:smallCaps w:val="0"/>
          <w:spacing w:val="0"/>
        </w:rPr>
        <w:t>al</w:t>
      </w:r>
      <w:r w:rsidR="002976FC" w:rsidRPr="001C324A">
        <w:rPr>
          <w:rStyle w:val="BookTitle"/>
          <w:i w:val="0"/>
          <w:iCs w:val="0"/>
          <w:smallCaps w:val="0"/>
          <w:spacing w:val="0"/>
        </w:rPr>
        <w:t xml:space="preserve"> </w:t>
      </w:r>
      <w:r w:rsidR="009F568E" w:rsidRPr="001C324A">
        <w:rPr>
          <w:rStyle w:val="BookTitle"/>
          <w:i w:val="0"/>
          <w:iCs w:val="0"/>
          <w:smallCaps w:val="0"/>
          <w:spacing w:val="0"/>
        </w:rPr>
        <w:t>10,000 assessments per annum</w:t>
      </w:r>
      <w:r w:rsidR="00CB3869" w:rsidRPr="001C324A">
        <w:rPr>
          <w:rStyle w:val="BookTitle"/>
          <w:i w:val="0"/>
          <w:iCs w:val="0"/>
          <w:smallCaps w:val="0"/>
          <w:spacing w:val="0"/>
        </w:rPr>
        <w:t xml:space="preserve">. </w:t>
      </w:r>
      <w:r w:rsidRPr="001C324A">
        <w:rPr>
          <w:rStyle w:val="BookTitle"/>
          <w:i w:val="0"/>
          <w:iCs w:val="0"/>
          <w:smallCaps w:val="0"/>
          <w:spacing w:val="0"/>
        </w:rPr>
        <w:t>It should be noted that current resources meet 4,000 SWS assessments per annum</w:t>
      </w:r>
      <w:r w:rsidR="00961AB3">
        <w:rPr>
          <w:rStyle w:val="BookTitle"/>
          <w:i w:val="0"/>
          <w:iCs w:val="0"/>
          <w:smallCaps w:val="0"/>
          <w:spacing w:val="0"/>
        </w:rPr>
        <w:t xml:space="preserve">. </w:t>
      </w:r>
      <w:r w:rsidR="00067306">
        <w:rPr>
          <w:rStyle w:val="BookTitle"/>
          <w:i w:val="0"/>
          <w:iCs w:val="0"/>
          <w:smallCaps w:val="0"/>
          <w:spacing w:val="0"/>
        </w:rPr>
        <w:t xml:space="preserve">Capacity would need to be trebled to meet the demand of 14,000 assessments per annum. </w:t>
      </w:r>
    </w:p>
    <w:p w:rsidR="00077045" w:rsidRDefault="005B0FF7" w:rsidP="00A370BD">
      <w:pPr>
        <w:pStyle w:val="ListParagraph"/>
        <w:numPr>
          <w:ilvl w:val="1"/>
          <w:numId w:val="15"/>
        </w:numPr>
        <w:rPr>
          <w:rStyle w:val="BookTitle"/>
          <w:i w:val="0"/>
          <w:iCs w:val="0"/>
          <w:smallCaps w:val="0"/>
          <w:spacing w:val="0"/>
        </w:rPr>
      </w:pPr>
      <w:proofErr w:type="gramStart"/>
      <w:r w:rsidRPr="00F34FE7">
        <w:rPr>
          <w:rStyle w:val="BookTitle"/>
          <w:i w:val="0"/>
          <w:iCs w:val="0"/>
          <w:smallCaps w:val="0"/>
          <w:spacing w:val="0"/>
        </w:rPr>
        <w:t>d</w:t>
      </w:r>
      <w:r w:rsidR="00077045" w:rsidRPr="00F34FE7">
        <w:rPr>
          <w:rStyle w:val="BookTitle"/>
          <w:i w:val="0"/>
          <w:iCs w:val="0"/>
          <w:smallCaps w:val="0"/>
          <w:spacing w:val="0"/>
        </w:rPr>
        <w:t>eveloping</w:t>
      </w:r>
      <w:proofErr w:type="gramEnd"/>
      <w:r w:rsidR="00077045" w:rsidRPr="00F34FE7">
        <w:rPr>
          <w:rStyle w:val="BookTitle"/>
          <w:i w:val="0"/>
          <w:iCs w:val="0"/>
          <w:smallCaps w:val="0"/>
          <w:spacing w:val="0"/>
        </w:rPr>
        <w:t xml:space="preserve"> and implementing a viability strategy for ADEs including the possible res</w:t>
      </w:r>
      <w:r w:rsidR="002976FC" w:rsidRPr="00F34FE7">
        <w:rPr>
          <w:rStyle w:val="BookTitle"/>
          <w:i w:val="0"/>
          <w:iCs w:val="0"/>
          <w:smallCaps w:val="0"/>
          <w:spacing w:val="0"/>
        </w:rPr>
        <w:t>tructuring/amalgamation of ADEs</w:t>
      </w:r>
      <w:r w:rsidR="00A370BD" w:rsidRPr="00F34FE7">
        <w:rPr>
          <w:rStyle w:val="BookTitle"/>
          <w:i w:val="0"/>
          <w:iCs w:val="0"/>
          <w:smallCaps w:val="0"/>
          <w:spacing w:val="0"/>
        </w:rPr>
        <w:t xml:space="preserve"> to meet the costs of increased wage bills</w:t>
      </w:r>
      <w:r w:rsidR="00D209A3">
        <w:rPr>
          <w:rStyle w:val="BookTitle"/>
          <w:i w:val="0"/>
          <w:iCs w:val="0"/>
          <w:smallCaps w:val="0"/>
          <w:spacing w:val="0"/>
        </w:rPr>
        <w:t xml:space="preserve"> to ensure jobs are not lost</w:t>
      </w:r>
      <w:r w:rsidR="00A370BD" w:rsidRPr="00F34FE7">
        <w:rPr>
          <w:rStyle w:val="BookTitle"/>
          <w:i w:val="0"/>
          <w:iCs w:val="0"/>
          <w:smallCaps w:val="0"/>
          <w:spacing w:val="0"/>
        </w:rPr>
        <w:t xml:space="preserve">. </w:t>
      </w:r>
    </w:p>
    <w:p w:rsidR="00A27BC8" w:rsidRPr="00F34FE7" w:rsidRDefault="00A27BC8" w:rsidP="000A578C">
      <w:pPr>
        <w:pStyle w:val="ListParagraph"/>
        <w:ind w:left="426"/>
        <w:rPr>
          <w:rStyle w:val="BookTitle"/>
          <w:i w:val="0"/>
          <w:iCs w:val="0"/>
          <w:smallCaps w:val="0"/>
          <w:spacing w:val="0"/>
        </w:rPr>
      </w:pPr>
    </w:p>
    <w:p w:rsidR="00721751" w:rsidRPr="00F34FE7" w:rsidRDefault="00721751"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are the arguments for and against using only the productivity part of the BSWAT?</w:t>
      </w:r>
    </w:p>
    <w:p w:rsidR="005B0FF7" w:rsidRPr="00F34FE7" w:rsidRDefault="005B0FF7" w:rsidP="005B0FF7">
      <w:pPr>
        <w:rPr>
          <w:rStyle w:val="BookTitle"/>
          <w:i w:val="0"/>
          <w:iCs w:val="0"/>
          <w:smallCaps w:val="0"/>
          <w:spacing w:val="0"/>
        </w:rPr>
      </w:pPr>
      <w:r w:rsidRPr="00F34FE7">
        <w:rPr>
          <w:rStyle w:val="BookTitle"/>
          <w:i w:val="0"/>
          <w:iCs w:val="0"/>
          <w:smallCaps w:val="0"/>
          <w:spacing w:val="0"/>
        </w:rPr>
        <w:t>Arguments for using only the productivity part of the BSWAT:</w:t>
      </w:r>
    </w:p>
    <w:p w:rsidR="009F568E" w:rsidRPr="00F34FE7" w:rsidRDefault="005B0FF7" w:rsidP="005B0FF7">
      <w:pPr>
        <w:pStyle w:val="ListParagraph"/>
        <w:numPr>
          <w:ilvl w:val="0"/>
          <w:numId w:val="1"/>
        </w:numPr>
        <w:rPr>
          <w:rStyle w:val="BookTitle"/>
          <w:i w:val="0"/>
          <w:iCs w:val="0"/>
          <w:smallCaps w:val="0"/>
          <w:spacing w:val="0"/>
        </w:rPr>
      </w:pPr>
      <w:r w:rsidRPr="00F34FE7">
        <w:rPr>
          <w:rStyle w:val="BookTitle"/>
          <w:i w:val="0"/>
          <w:iCs w:val="0"/>
          <w:smallCaps w:val="0"/>
          <w:spacing w:val="0"/>
        </w:rPr>
        <w:t xml:space="preserve">A move to using only the productivity part of the BSWAT would be relatively straightforward </w:t>
      </w:r>
      <w:r w:rsidR="009F568E" w:rsidRPr="00F34FE7">
        <w:rPr>
          <w:rStyle w:val="BookTitle"/>
          <w:i w:val="0"/>
          <w:iCs w:val="0"/>
          <w:smallCaps w:val="0"/>
          <w:spacing w:val="0"/>
        </w:rPr>
        <w:t xml:space="preserve">as </w:t>
      </w:r>
      <w:r w:rsidR="002976FC" w:rsidRPr="00F34FE7">
        <w:rPr>
          <w:rStyle w:val="BookTitle"/>
          <w:i w:val="0"/>
          <w:iCs w:val="0"/>
          <w:smallCaps w:val="0"/>
          <w:spacing w:val="0"/>
        </w:rPr>
        <w:t xml:space="preserve">data from </w:t>
      </w:r>
      <w:r w:rsidR="009F568E" w:rsidRPr="00F34FE7">
        <w:rPr>
          <w:rStyle w:val="BookTitle"/>
          <w:i w:val="0"/>
          <w:iCs w:val="0"/>
          <w:smallCaps w:val="0"/>
          <w:spacing w:val="0"/>
        </w:rPr>
        <w:t>existing assessments could be used</w:t>
      </w:r>
      <w:r w:rsidR="002976FC" w:rsidRPr="00F34FE7">
        <w:rPr>
          <w:rStyle w:val="BookTitle"/>
          <w:i w:val="0"/>
          <w:iCs w:val="0"/>
          <w:smallCaps w:val="0"/>
          <w:spacing w:val="0"/>
        </w:rPr>
        <w:t>.</w:t>
      </w:r>
    </w:p>
    <w:p w:rsidR="00ED3DC3" w:rsidRDefault="002101FC" w:rsidP="00ED3DC3">
      <w:pPr>
        <w:pStyle w:val="ListParagraph"/>
        <w:numPr>
          <w:ilvl w:val="0"/>
          <w:numId w:val="11"/>
        </w:numPr>
      </w:pPr>
      <w:r w:rsidRPr="00F34FE7">
        <w:rPr>
          <w:rStyle w:val="BookTitle"/>
          <w:i w:val="0"/>
          <w:iCs w:val="0"/>
          <w:smallCaps w:val="0"/>
          <w:spacing w:val="0"/>
        </w:rPr>
        <w:t xml:space="preserve">The measurement of productivity </w:t>
      </w:r>
      <w:r w:rsidR="009F568E" w:rsidRPr="00F34FE7">
        <w:rPr>
          <w:rStyle w:val="BookTitle"/>
          <w:i w:val="0"/>
          <w:iCs w:val="0"/>
          <w:smallCaps w:val="0"/>
          <w:spacing w:val="0"/>
        </w:rPr>
        <w:t>is likely to see an increase in wages for most supported employees</w:t>
      </w:r>
      <w:r w:rsidR="001B7411">
        <w:rPr>
          <w:rStyle w:val="BookTitle"/>
          <w:i w:val="0"/>
          <w:iCs w:val="0"/>
          <w:smallCaps w:val="0"/>
          <w:spacing w:val="0"/>
        </w:rPr>
        <w:t>.</w:t>
      </w:r>
    </w:p>
    <w:p w:rsidR="00ED3DC3" w:rsidRPr="00F34FE7" w:rsidRDefault="00ED3DC3" w:rsidP="00ED3DC3">
      <w:pPr>
        <w:pStyle w:val="ListParagraph"/>
        <w:numPr>
          <w:ilvl w:val="0"/>
          <w:numId w:val="11"/>
        </w:numPr>
      </w:pPr>
      <w:r>
        <w:t>T</w:t>
      </w:r>
      <w:r w:rsidRPr="00F34FE7">
        <w:t xml:space="preserve">he BSWAT allows for the assessment of productivity over a longer time-frame than the SWS, therefore </w:t>
      </w:r>
      <w:r w:rsidR="00E80981">
        <w:t>potentially</w:t>
      </w:r>
      <w:r w:rsidRPr="00F34FE7">
        <w:t xml:space="preserve"> providing a more accurate assessment of an employee’s true level of productivity. </w:t>
      </w:r>
    </w:p>
    <w:p w:rsidR="002976FC" w:rsidRPr="00F34FE7" w:rsidRDefault="003113AA" w:rsidP="002976FC">
      <w:pPr>
        <w:pStyle w:val="ListParagraph"/>
        <w:numPr>
          <w:ilvl w:val="0"/>
          <w:numId w:val="1"/>
        </w:numPr>
        <w:rPr>
          <w:rStyle w:val="BookTitle"/>
          <w:i w:val="0"/>
          <w:iCs w:val="0"/>
          <w:smallCaps w:val="0"/>
          <w:spacing w:val="0"/>
        </w:rPr>
      </w:pPr>
      <w:r w:rsidRPr="00F34FE7">
        <w:rPr>
          <w:rStyle w:val="BookTitle"/>
          <w:i w:val="0"/>
          <w:iCs w:val="0"/>
          <w:smallCaps w:val="0"/>
          <w:spacing w:val="0"/>
        </w:rPr>
        <w:t>Using only the productivity part of the BSWAT w</w:t>
      </w:r>
      <w:r w:rsidR="002976FC" w:rsidRPr="00F34FE7">
        <w:rPr>
          <w:rStyle w:val="BookTitle"/>
          <w:i w:val="0"/>
          <w:iCs w:val="0"/>
          <w:smallCaps w:val="0"/>
          <w:spacing w:val="0"/>
        </w:rPr>
        <w:t>ould remove the risk of further claims of discrimination in relation to the measurement of competency.</w:t>
      </w:r>
    </w:p>
    <w:p w:rsidR="002976FC" w:rsidRPr="00F34FE7" w:rsidRDefault="002976FC" w:rsidP="002976FC">
      <w:pPr>
        <w:pStyle w:val="ListParagraph"/>
        <w:rPr>
          <w:rStyle w:val="BookTitle"/>
          <w:i w:val="0"/>
          <w:iCs w:val="0"/>
          <w:smallCaps w:val="0"/>
          <w:spacing w:val="0"/>
        </w:rPr>
      </w:pPr>
    </w:p>
    <w:p w:rsidR="005B0FF7" w:rsidRPr="00F34FE7" w:rsidRDefault="005B0FF7" w:rsidP="00FE2662">
      <w:pPr>
        <w:rPr>
          <w:rStyle w:val="BookTitle"/>
          <w:i w:val="0"/>
          <w:iCs w:val="0"/>
          <w:smallCaps w:val="0"/>
          <w:spacing w:val="0"/>
        </w:rPr>
      </w:pPr>
      <w:r w:rsidRPr="00F34FE7">
        <w:rPr>
          <w:rStyle w:val="BookTitle"/>
          <w:i w:val="0"/>
          <w:iCs w:val="0"/>
          <w:smallCaps w:val="0"/>
          <w:spacing w:val="0"/>
        </w:rPr>
        <w:t>Arguments against using only the productivity part of the BSWAT:</w:t>
      </w:r>
    </w:p>
    <w:p w:rsidR="009F568E" w:rsidRPr="00F34FE7" w:rsidRDefault="009F568E" w:rsidP="00F43328">
      <w:pPr>
        <w:pStyle w:val="ListParagraph"/>
        <w:numPr>
          <w:ilvl w:val="0"/>
          <w:numId w:val="11"/>
        </w:numPr>
      </w:pPr>
      <w:r w:rsidRPr="00F34FE7">
        <w:t xml:space="preserve">The productivity component of the BSWAT is almost the same as the SWS. </w:t>
      </w:r>
      <w:r w:rsidR="002976FC" w:rsidRPr="00F34FE7">
        <w:t>There</w:t>
      </w:r>
      <w:r w:rsidRPr="00F34FE7">
        <w:t xml:space="preserve"> is no advantage in having both</w:t>
      </w:r>
      <w:r w:rsidR="001C324A">
        <w:t xml:space="preserve"> in the long-term.</w:t>
      </w:r>
    </w:p>
    <w:p w:rsidR="00DB7978" w:rsidRPr="00F34FE7" w:rsidRDefault="00D47B40" w:rsidP="00DB7978">
      <w:pPr>
        <w:pStyle w:val="ListParagraph"/>
        <w:numPr>
          <w:ilvl w:val="0"/>
          <w:numId w:val="11"/>
        </w:numPr>
        <w:rPr>
          <w:rStyle w:val="BookTitle"/>
          <w:i w:val="0"/>
          <w:iCs w:val="0"/>
          <w:smallCaps w:val="0"/>
          <w:spacing w:val="0"/>
        </w:rPr>
      </w:pPr>
      <w:r w:rsidRPr="00F34FE7">
        <w:t xml:space="preserve">As with the proposal to use SWS, </w:t>
      </w:r>
      <w:r w:rsidR="004B69F0">
        <w:t>the use of the productivity only component of the BSWAT would result in viability problems for many ADES and resulting uncertain</w:t>
      </w:r>
      <w:r w:rsidR="00D209A3">
        <w:t>t</w:t>
      </w:r>
      <w:r w:rsidR="004B69F0">
        <w:t xml:space="preserve">y of employment for supported employees. </w:t>
      </w:r>
    </w:p>
    <w:p w:rsidR="000A578C" w:rsidRPr="00F34FE7" w:rsidRDefault="00704913" w:rsidP="00F43328">
      <w:pPr>
        <w:pStyle w:val="ListParagraph"/>
        <w:numPr>
          <w:ilvl w:val="0"/>
          <w:numId w:val="11"/>
        </w:numPr>
        <w:rPr>
          <w:rStyle w:val="BookTitle"/>
          <w:i w:val="0"/>
          <w:iCs w:val="0"/>
          <w:smallCaps w:val="0"/>
          <w:spacing w:val="0"/>
        </w:rPr>
      </w:pPr>
      <w:r w:rsidRPr="00F34FE7">
        <w:rPr>
          <w:rStyle w:val="BookTitle"/>
          <w:i w:val="0"/>
          <w:iCs w:val="0"/>
          <w:smallCaps w:val="0"/>
          <w:spacing w:val="0"/>
        </w:rPr>
        <w:t>An</w:t>
      </w:r>
      <w:r w:rsidR="00DB7978">
        <w:rPr>
          <w:rStyle w:val="BookTitle"/>
          <w:i w:val="0"/>
          <w:iCs w:val="0"/>
          <w:smallCaps w:val="0"/>
          <w:spacing w:val="0"/>
        </w:rPr>
        <w:t>ecdotally the Department is advised that an</w:t>
      </w:r>
      <w:r w:rsidR="00FE2662" w:rsidRPr="00F34FE7">
        <w:rPr>
          <w:rStyle w:val="BookTitle"/>
          <w:i w:val="0"/>
          <w:iCs w:val="0"/>
          <w:smallCaps w:val="0"/>
          <w:spacing w:val="0"/>
        </w:rPr>
        <w:t xml:space="preserve"> initial estimate </w:t>
      </w:r>
      <w:r w:rsidR="00DB7978">
        <w:rPr>
          <w:rStyle w:val="BookTitle"/>
          <w:i w:val="0"/>
          <w:iCs w:val="0"/>
          <w:smallCaps w:val="0"/>
          <w:spacing w:val="0"/>
        </w:rPr>
        <w:t xml:space="preserve">of </w:t>
      </w:r>
      <w:r w:rsidR="00FE2662" w:rsidRPr="00F34FE7">
        <w:rPr>
          <w:rStyle w:val="BookTitle"/>
          <w:i w:val="0"/>
          <w:iCs w:val="0"/>
          <w:smallCaps w:val="0"/>
          <w:spacing w:val="0"/>
        </w:rPr>
        <w:t xml:space="preserve">average </w:t>
      </w:r>
      <w:r w:rsidR="00DB7978">
        <w:rPr>
          <w:rStyle w:val="BookTitle"/>
          <w:i w:val="0"/>
          <w:iCs w:val="0"/>
          <w:smallCaps w:val="0"/>
          <w:spacing w:val="0"/>
        </w:rPr>
        <w:t xml:space="preserve">increased </w:t>
      </w:r>
      <w:r w:rsidR="00FE2662" w:rsidRPr="00F34FE7">
        <w:rPr>
          <w:rStyle w:val="BookTitle"/>
          <w:i w:val="0"/>
          <w:iCs w:val="0"/>
          <w:smallCaps w:val="0"/>
          <w:spacing w:val="0"/>
        </w:rPr>
        <w:t xml:space="preserve">wage costs for ADEs transitioning to the BSWAT productivity part only would </w:t>
      </w:r>
      <w:r w:rsidR="00DB7978">
        <w:rPr>
          <w:rStyle w:val="BookTitle"/>
          <w:i w:val="0"/>
          <w:iCs w:val="0"/>
          <w:smallCaps w:val="0"/>
          <w:spacing w:val="0"/>
        </w:rPr>
        <w:t>be</w:t>
      </w:r>
      <w:r w:rsidR="00FE2662" w:rsidRPr="00F34FE7">
        <w:rPr>
          <w:rStyle w:val="BookTitle"/>
          <w:i w:val="0"/>
          <w:iCs w:val="0"/>
          <w:smallCaps w:val="0"/>
          <w:spacing w:val="0"/>
        </w:rPr>
        <w:t xml:space="preserve"> </w:t>
      </w:r>
      <w:r w:rsidR="00B94A54" w:rsidRPr="00F34FE7">
        <w:rPr>
          <w:rStyle w:val="BookTitle"/>
          <w:i w:val="0"/>
          <w:iCs w:val="0"/>
          <w:smallCaps w:val="0"/>
          <w:spacing w:val="0"/>
        </w:rPr>
        <w:t>up to 70</w:t>
      </w:r>
      <w:r w:rsidR="00FE2662" w:rsidRPr="00F34FE7">
        <w:rPr>
          <w:rStyle w:val="BookTitle"/>
          <w:i w:val="0"/>
          <w:iCs w:val="0"/>
          <w:smallCaps w:val="0"/>
          <w:spacing w:val="0"/>
        </w:rPr>
        <w:t xml:space="preserve"> per </w:t>
      </w:r>
      <w:proofErr w:type="spellStart"/>
      <w:r w:rsidR="00FE2662" w:rsidRPr="00F34FE7">
        <w:rPr>
          <w:rStyle w:val="BookTitle"/>
          <w:i w:val="0"/>
          <w:iCs w:val="0"/>
          <w:smallCaps w:val="0"/>
          <w:spacing w:val="0"/>
        </w:rPr>
        <w:t>cent</w:t>
      </w:r>
      <w:r w:rsidR="00B94A54" w:rsidRPr="00F34FE7">
        <w:rPr>
          <w:rStyle w:val="BookTitle"/>
          <w:i w:val="0"/>
          <w:iCs w:val="0"/>
          <w:smallCaps w:val="0"/>
          <w:spacing w:val="0"/>
        </w:rPr>
        <w:t>.</w:t>
      </w:r>
      <w:r w:rsidR="00D209A3">
        <w:rPr>
          <w:rStyle w:val="BookTitle"/>
          <w:i w:val="0"/>
          <w:iCs w:val="0"/>
          <w:smallCaps w:val="0"/>
          <w:spacing w:val="0"/>
        </w:rPr>
        <w:t>This</w:t>
      </w:r>
      <w:proofErr w:type="spellEnd"/>
      <w:r w:rsidR="00D209A3">
        <w:rPr>
          <w:rStyle w:val="BookTitle"/>
          <w:i w:val="0"/>
          <w:iCs w:val="0"/>
          <w:smallCaps w:val="0"/>
          <w:spacing w:val="0"/>
        </w:rPr>
        <w:t xml:space="preserve"> is a significant cost for marginal businesses to absorb in a short time period and is likely to result in business closure and job losses. </w:t>
      </w:r>
      <w:r w:rsidR="00FE2662" w:rsidRPr="00F34FE7">
        <w:rPr>
          <w:rStyle w:val="BookTitle"/>
          <w:i w:val="0"/>
          <w:iCs w:val="0"/>
          <w:smallCaps w:val="0"/>
          <w:spacing w:val="0"/>
        </w:rPr>
        <w:t>.</w:t>
      </w:r>
    </w:p>
    <w:p w:rsidR="002101FC" w:rsidRPr="00F34FE7" w:rsidRDefault="002101FC" w:rsidP="002101FC">
      <w:pPr>
        <w:pStyle w:val="ListParagraph"/>
        <w:numPr>
          <w:ilvl w:val="0"/>
          <w:numId w:val="11"/>
        </w:numPr>
        <w:rPr>
          <w:rStyle w:val="BookTitle"/>
          <w:i w:val="0"/>
          <w:iCs w:val="0"/>
          <w:smallCaps w:val="0"/>
          <w:spacing w:val="0"/>
        </w:rPr>
      </w:pPr>
      <w:r w:rsidRPr="00F34FE7">
        <w:rPr>
          <w:rStyle w:val="BookTitle"/>
          <w:i w:val="0"/>
          <w:iCs w:val="0"/>
          <w:smallCaps w:val="0"/>
          <w:spacing w:val="0"/>
        </w:rPr>
        <w:lastRenderedPageBreak/>
        <w:t>The measurement of productivity only would disadvantage some people</w:t>
      </w:r>
      <w:r w:rsidR="00CB3869">
        <w:rPr>
          <w:rStyle w:val="BookTitle"/>
          <w:i w:val="0"/>
          <w:iCs w:val="0"/>
          <w:smallCaps w:val="0"/>
          <w:spacing w:val="0"/>
        </w:rPr>
        <w:t>, for example where someone has a high level of competency relative to their productivity, and would result in lower wages for these individuals. It is estimated that approximately 200 of the current cohort would be in this g</w:t>
      </w:r>
      <w:r w:rsidR="004401FA">
        <w:rPr>
          <w:rStyle w:val="BookTitle"/>
          <w:i w:val="0"/>
          <w:iCs w:val="0"/>
          <w:smallCaps w:val="0"/>
          <w:spacing w:val="0"/>
        </w:rPr>
        <w:t xml:space="preserve">roup. </w:t>
      </w:r>
    </w:p>
    <w:p w:rsidR="0075624E" w:rsidRDefault="0075624E" w:rsidP="0075624E">
      <w:pPr>
        <w:pStyle w:val="ListParagraph"/>
        <w:numPr>
          <w:ilvl w:val="0"/>
          <w:numId w:val="11"/>
        </w:numPr>
      </w:pPr>
      <w:r w:rsidRPr="00F44C97">
        <w:t xml:space="preserve">The </w:t>
      </w:r>
      <w:r w:rsidR="001C324A">
        <w:t>Department’s</w:t>
      </w:r>
      <w:r w:rsidRPr="00F44C97">
        <w:t xml:space="preserve"> exemption application</w:t>
      </w:r>
      <w:r w:rsidR="00067306">
        <w:t xml:space="preserve"> (the exemption application)</w:t>
      </w:r>
      <w:r w:rsidRPr="00F44C97">
        <w:t xml:space="preserve"> noted that the majority </w:t>
      </w:r>
      <w:r w:rsidR="00842BCE">
        <w:t xml:space="preserve">of </w:t>
      </w:r>
      <w:r w:rsidRPr="00F44C97">
        <w:t>judges in the Full Federal Court decision of 21 December 2012 said that the test of competency in BSWAT</w:t>
      </w:r>
      <w:r w:rsidR="00067306">
        <w:t xml:space="preserve"> (in particular, the question and answer method used to assess parts of the units of core competency)</w:t>
      </w:r>
      <w:r w:rsidRPr="00F44C97">
        <w:t xml:space="preserve"> disadvantaged people with intellectual disability and that, by virtue of their intellectual disability, Mr </w:t>
      </w:r>
      <w:proofErr w:type="spellStart"/>
      <w:r w:rsidRPr="00F44C97">
        <w:t>Nojin</w:t>
      </w:r>
      <w:proofErr w:type="spellEnd"/>
      <w:r w:rsidRPr="00F44C97">
        <w:t xml:space="preserve"> and Mr Prior were not able to comply with the competency component of BSWAT in their part</w:t>
      </w:r>
      <w:r w:rsidR="00842BCE">
        <w:t xml:space="preserve">icular circumstances.  </w:t>
      </w:r>
      <w:r w:rsidR="00067306">
        <w:t>It does not follow from t</w:t>
      </w:r>
      <w:r w:rsidR="00842BCE">
        <w:t>he</w:t>
      </w:r>
      <w:r w:rsidR="00067306">
        <w:t xml:space="preserve"> majority</w:t>
      </w:r>
      <w:r w:rsidR="00842BCE">
        <w:t xml:space="preserve"> judge</w:t>
      </w:r>
      <w:r w:rsidRPr="00F44C97">
        <w:t>ment</w:t>
      </w:r>
      <w:r w:rsidR="00067306">
        <w:t>s that all assessments under the BSWAT would constitute unlawful discrimination: the exemption application sets out (non-exhaustive) circumstances where an assessment under the BSWAT would not constitute unlawful discrimination. Further, the majority judgments</w:t>
      </w:r>
      <w:r w:rsidRPr="00F44C97">
        <w:t xml:space="preserve"> d</w:t>
      </w:r>
      <w:r w:rsidR="00067306">
        <w:t>o</w:t>
      </w:r>
      <w:r w:rsidRPr="00F44C97">
        <w:t xml:space="preserve"> not preclude</w:t>
      </w:r>
      <w:r w:rsidR="00067306">
        <w:t xml:space="preserve"> use of</w:t>
      </w:r>
      <w:r w:rsidRPr="00F44C97">
        <w:t xml:space="preserve"> an alternative method of assessing competency</w:t>
      </w:r>
      <w:r w:rsidR="00067306">
        <w:t xml:space="preserve"> which complies with the requirements of the DDA.  </w:t>
      </w:r>
      <w:r w:rsidRPr="00F44C97">
        <w:t>Competency is not only used in the BSWAT assessment, it is also widely used in workplace training and assessment in open employment</w:t>
      </w:r>
      <w:r w:rsidR="00F44C97" w:rsidRPr="00F44C97">
        <w:t xml:space="preserve"> regardless of whether a person has a disability or not</w:t>
      </w:r>
      <w:r w:rsidR="009637AE">
        <w:t xml:space="preserve">, for example, </w:t>
      </w:r>
      <w:r w:rsidR="00F44C97" w:rsidRPr="00F44C97">
        <w:t>accredited trade certifications. </w:t>
      </w:r>
      <w:r w:rsidR="00F44C97">
        <w:t xml:space="preserve"> </w:t>
      </w:r>
    </w:p>
    <w:p w:rsidR="008856B7" w:rsidRPr="00F34FE7" w:rsidRDefault="008856B7" w:rsidP="008856B7">
      <w:pPr>
        <w:pStyle w:val="ListParagraph"/>
        <w:rPr>
          <w:rStyle w:val="BookTitle"/>
          <w:i w:val="0"/>
          <w:iCs w:val="0"/>
          <w:smallCaps w:val="0"/>
          <w:spacing w:val="0"/>
        </w:rPr>
      </w:pPr>
    </w:p>
    <w:p w:rsidR="008856B7" w:rsidRPr="00F34FE7" w:rsidRDefault="00FE2662"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What steps/processes would need to be undertaken to use only the productivity part of BSWAT immediately? </w:t>
      </w:r>
    </w:p>
    <w:p w:rsidR="00FE2662" w:rsidRPr="00F34FE7" w:rsidRDefault="00FE2662"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How long would </w:t>
      </w:r>
      <w:proofErr w:type="gramStart"/>
      <w:r w:rsidRPr="00F34FE7">
        <w:rPr>
          <w:rStyle w:val="BookTitle"/>
          <w:b/>
          <w:i w:val="0"/>
          <w:iCs w:val="0"/>
          <w:smallCaps w:val="0"/>
          <w:spacing w:val="0"/>
        </w:rPr>
        <w:t>these</w:t>
      </w:r>
      <w:proofErr w:type="gramEnd"/>
      <w:r w:rsidRPr="00F34FE7">
        <w:rPr>
          <w:rStyle w:val="BookTitle"/>
          <w:b/>
          <w:i w:val="0"/>
          <w:iCs w:val="0"/>
          <w:smallCaps w:val="0"/>
          <w:spacing w:val="0"/>
        </w:rPr>
        <w:t xml:space="preserve"> steps/process take?</w:t>
      </w:r>
    </w:p>
    <w:p w:rsidR="00FE2662" w:rsidRPr="00F34FE7" w:rsidRDefault="00784893" w:rsidP="004A6BFE">
      <w:pPr>
        <w:rPr>
          <w:rStyle w:val="BookTitle"/>
          <w:i w:val="0"/>
          <w:iCs w:val="0"/>
          <w:smallCaps w:val="0"/>
          <w:spacing w:val="0"/>
        </w:rPr>
      </w:pPr>
      <w:r w:rsidRPr="00F34FE7">
        <w:rPr>
          <w:rStyle w:val="BookTitle"/>
          <w:i w:val="0"/>
          <w:iCs w:val="0"/>
          <w:smallCaps w:val="0"/>
          <w:spacing w:val="0"/>
        </w:rPr>
        <w:t>A</w:t>
      </w:r>
      <w:r w:rsidR="00FE2662" w:rsidRPr="00F34FE7">
        <w:rPr>
          <w:rStyle w:val="BookTitle"/>
          <w:i w:val="0"/>
          <w:iCs w:val="0"/>
          <w:smallCaps w:val="0"/>
          <w:spacing w:val="0"/>
        </w:rPr>
        <w:t xml:space="preserve"> </w:t>
      </w:r>
      <w:r w:rsidR="00704913" w:rsidRPr="00F34FE7">
        <w:rPr>
          <w:rStyle w:val="BookTitle"/>
          <w:i w:val="0"/>
          <w:iCs w:val="0"/>
          <w:smallCaps w:val="0"/>
          <w:spacing w:val="0"/>
        </w:rPr>
        <w:t xml:space="preserve">number of steps </w:t>
      </w:r>
      <w:r w:rsidRPr="00F34FE7">
        <w:rPr>
          <w:rStyle w:val="BookTitle"/>
          <w:i w:val="0"/>
          <w:iCs w:val="0"/>
          <w:smallCaps w:val="0"/>
          <w:spacing w:val="0"/>
        </w:rPr>
        <w:t xml:space="preserve">would be </w:t>
      </w:r>
      <w:r w:rsidR="00704913" w:rsidRPr="00F34FE7">
        <w:rPr>
          <w:rStyle w:val="BookTitle"/>
          <w:i w:val="0"/>
          <w:iCs w:val="0"/>
          <w:smallCaps w:val="0"/>
          <w:spacing w:val="0"/>
        </w:rPr>
        <w:t xml:space="preserve">required before </w:t>
      </w:r>
      <w:r w:rsidR="00FE2662" w:rsidRPr="00F34FE7">
        <w:rPr>
          <w:rStyle w:val="BookTitle"/>
          <w:i w:val="0"/>
          <w:iCs w:val="0"/>
          <w:smallCaps w:val="0"/>
          <w:spacing w:val="0"/>
        </w:rPr>
        <w:t xml:space="preserve">the productivity </w:t>
      </w:r>
      <w:r w:rsidR="002351CD" w:rsidRPr="00F34FE7">
        <w:rPr>
          <w:rStyle w:val="BookTitle"/>
          <w:i w:val="0"/>
          <w:iCs w:val="0"/>
          <w:smallCaps w:val="0"/>
          <w:spacing w:val="0"/>
        </w:rPr>
        <w:t xml:space="preserve">only </w:t>
      </w:r>
      <w:r w:rsidR="00FE2662" w:rsidRPr="00F34FE7">
        <w:rPr>
          <w:rStyle w:val="BookTitle"/>
          <w:i w:val="0"/>
          <w:iCs w:val="0"/>
          <w:smallCaps w:val="0"/>
          <w:spacing w:val="0"/>
        </w:rPr>
        <w:t>part of BSWAT</w:t>
      </w:r>
      <w:r w:rsidR="002351CD" w:rsidRPr="00F34FE7">
        <w:rPr>
          <w:rStyle w:val="BookTitle"/>
          <w:i w:val="0"/>
          <w:iCs w:val="0"/>
          <w:smallCaps w:val="0"/>
          <w:spacing w:val="0"/>
        </w:rPr>
        <w:t xml:space="preserve"> could be rolled out</w:t>
      </w:r>
      <w:r w:rsidRPr="00F34FE7">
        <w:rPr>
          <w:rStyle w:val="BookTitle"/>
          <w:i w:val="0"/>
          <w:iCs w:val="0"/>
          <w:smallCaps w:val="0"/>
          <w:spacing w:val="0"/>
        </w:rPr>
        <w:t>, including</w:t>
      </w:r>
      <w:r w:rsidR="00FE2662" w:rsidRPr="00F34FE7">
        <w:rPr>
          <w:rStyle w:val="BookTitle"/>
          <w:i w:val="0"/>
          <w:iCs w:val="0"/>
          <w:smallCaps w:val="0"/>
          <w:spacing w:val="0"/>
        </w:rPr>
        <w:t>:</w:t>
      </w:r>
    </w:p>
    <w:p w:rsidR="008C5EE5" w:rsidRDefault="00784893" w:rsidP="008C5EE5">
      <w:pPr>
        <w:pStyle w:val="ListParagraph"/>
        <w:numPr>
          <w:ilvl w:val="0"/>
          <w:numId w:val="11"/>
        </w:numPr>
        <w:rPr>
          <w:rStyle w:val="BookTitle"/>
          <w:i w:val="0"/>
          <w:iCs w:val="0"/>
          <w:smallCaps w:val="0"/>
          <w:spacing w:val="0"/>
        </w:rPr>
      </w:pPr>
      <w:r w:rsidRPr="00F34FE7">
        <w:rPr>
          <w:rStyle w:val="BookTitle"/>
          <w:i w:val="0"/>
          <w:iCs w:val="0"/>
          <w:smallCaps w:val="0"/>
          <w:spacing w:val="0"/>
        </w:rPr>
        <w:t>Re-establishing c</w:t>
      </w:r>
      <w:r w:rsidR="00A370BD" w:rsidRPr="00F34FE7">
        <w:rPr>
          <w:rStyle w:val="BookTitle"/>
          <w:i w:val="0"/>
          <w:iCs w:val="0"/>
          <w:smallCaps w:val="0"/>
          <w:spacing w:val="0"/>
        </w:rPr>
        <w:t xml:space="preserve">ommercial </w:t>
      </w:r>
      <w:r w:rsidRPr="00F34FE7">
        <w:rPr>
          <w:rStyle w:val="BookTitle"/>
          <w:i w:val="0"/>
          <w:iCs w:val="0"/>
          <w:smallCaps w:val="0"/>
          <w:spacing w:val="0"/>
        </w:rPr>
        <w:t xml:space="preserve">wage </w:t>
      </w:r>
      <w:r w:rsidR="00A370BD" w:rsidRPr="00F34FE7">
        <w:rPr>
          <w:rStyle w:val="BookTitle"/>
          <w:i w:val="0"/>
          <w:iCs w:val="0"/>
          <w:smallCaps w:val="0"/>
          <w:spacing w:val="0"/>
        </w:rPr>
        <w:t>assessment arrangements to undertake assessments</w:t>
      </w:r>
      <w:r w:rsidR="005B2A1D">
        <w:rPr>
          <w:rStyle w:val="BookTitle"/>
          <w:i w:val="0"/>
          <w:iCs w:val="0"/>
          <w:smallCaps w:val="0"/>
          <w:spacing w:val="0"/>
        </w:rPr>
        <w:t xml:space="preserve"> that have expired or are</w:t>
      </w:r>
      <w:r w:rsidR="002A55FA">
        <w:rPr>
          <w:rStyle w:val="BookTitle"/>
          <w:i w:val="0"/>
          <w:iCs w:val="0"/>
          <w:smallCaps w:val="0"/>
          <w:spacing w:val="0"/>
        </w:rPr>
        <w:t xml:space="preserve"> due</w:t>
      </w:r>
      <w:r w:rsidR="00A370BD" w:rsidRPr="00F34FE7">
        <w:rPr>
          <w:rStyle w:val="BookTitle"/>
          <w:i w:val="0"/>
          <w:iCs w:val="0"/>
          <w:smallCaps w:val="0"/>
          <w:spacing w:val="0"/>
        </w:rPr>
        <w:t xml:space="preserve">. </w:t>
      </w:r>
      <w:r w:rsidR="008C5EE5">
        <w:rPr>
          <w:rStyle w:val="BookTitle"/>
          <w:i w:val="0"/>
          <w:iCs w:val="0"/>
          <w:smallCaps w:val="0"/>
          <w:spacing w:val="0"/>
        </w:rPr>
        <w:t xml:space="preserve"> </w:t>
      </w:r>
    </w:p>
    <w:p w:rsidR="008C5EE5" w:rsidRDefault="00784893" w:rsidP="008C5EE5">
      <w:pPr>
        <w:pStyle w:val="ListParagraph"/>
        <w:numPr>
          <w:ilvl w:val="0"/>
          <w:numId w:val="11"/>
        </w:numPr>
        <w:rPr>
          <w:rStyle w:val="BookTitle"/>
          <w:i w:val="0"/>
          <w:iCs w:val="0"/>
          <w:smallCaps w:val="0"/>
          <w:spacing w:val="0"/>
        </w:rPr>
      </w:pPr>
      <w:r w:rsidRPr="00F34FE7">
        <w:rPr>
          <w:rStyle w:val="BookTitle"/>
          <w:i w:val="0"/>
          <w:iCs w:val="0"/>
          <w:smallCaps w:val="0"/>
          <w:spacing w:val="0"/>
        </w:rPr>
        <w:t>Revising</w:t>
      </w:r>
      <w:r w:rsidR="00A370BD" w:rsidRPr="00F34FE7">
        <w:rPr>
          <w:rStyle w:val="BookTitle"/>
          <w:i w:val="0"/>
          <w:iCs w:val="0"/>
          <w:smallCaps w:val="0"/>
          <w:spacing w:val="0"/>
        </w:rPr>
        <w:t xml:space="preserve"> </w:t>
      </w:r>
      <w:r w:rsidRPr="00F34FE7">
        <w:rPr>
          <w:rStyle w:val="BookTitle"/>
          <w:i w:val="0"/>
          <w:iCs w:val="0"/>
          <w:smallCaps w:val="0"/>
          <w:spacing w:val="0"/>
        </w:rPr>
        <w:t xml:space="preserve">wage </w:t>
      </w:r>
      <w:r w:rsidR="00A370BD" w:rsidRPr="00F34FE7">
        <w:rPr>
          <w:rStyle w:val="BookTitle"/>
          <w:i w:val="0"/>
          <w:iCs w:val="0"/>
          <w:smallCaps w:val="0"/>
          <w:spacing w:val="0"/>
        </w:rPr>
        <w:t>asses</w:t>
      </w:r>
      <w:r w:rsidR="001C324A">
        <w:rPr>
          <w:rStyle w:val="BookTitle"/>
          <w:i w:val="0"/>
          <w:iCs w:val="0"/>
          <w:smallCaps w:val="0"/>
          <w:spacing w:val="0"/>
        </w:rPr>
        <w:t>sment guide documentation, tria</w:t>
      </w:r>
      <w:r w:rsidR="00A370BD" w:rsidRPr="00F34FE7">
        <w:rPr>
          <w:rStyle w:val="BookTitle"/>
          <w:i w:val="0"/>
          <w:iCs w:val="0"/>
          <w:smallCaps w:val="0"/>
          <w:spacing w:val="0"/>
        </w:rPr>
        <w:t>l</w:t>
      </w:r>
      <w:r w:rsidR="001C324A">
        <w:rPr>
          <w:rStyle w:val="BookTitle"/>
          <w:i w:val="0"/>
          <w:iCs w:val="0"/>
          <w:smallCaps w:val="0"/>
          <w:spacing w:val="0"/>
        </w:rPr>
        <w:t>l</w:t>
      </w:r>
      <w:r w:rsidR="00A370BD" w:rsidRPr="00F34FE7">
        <w:rPr>
          <w:rStyle w:val="BookTitle"/>
          <w:i w:val="0"/>
          <w:iCs w:val="0"/>
          <w:smallCaps w:val="0"/>
          <w:spacing w:val="0"/>
        </w:rPr>
        <w:t>ing to check validity</w:t>
      </w:r>
      <w:r w:rsidR="001C324A">
        <w:rPr>
          <w:rStyle w:val="BookTitle"/>
          <w:i w:val="0"/>
          <w:iCs w:val="0"/>
          <w:smallCaps w:val="0"/>
          <w:spacing w:val="0"/>
        </w:rPr>
        <w:t>,</w:t>
      </w:r>
      <w:r w:rsidR="00A370BD" w:rsidRPr="00F34FE7">
        <w:rPr>
          <w:rStyle w:val="BookTitle"/>
          <w:i w:val="0"/>
          <w:iCs w:val="0"/>
          <w:smallCaps w:val="0"/>
          <w:spacing w:val="0"/>
        </w:rPr>
        <w:t xml:space="preserve"> and training </w:t>
      </w:r>
      <w:r w:rsidR="00146635">
        <w:rPr>
          <w:rStyle w:val="BookTitle"/>
          <w:i w:val="0"/>
          <w:iCs w:val="0"/>
          <w:smallCaps w:val="0"/>
          <w:spacing w:val="0"/>
        </w:rPr>
        <w:t>for</w:t>
      </w:r>
      <w:r w:rsidR="00A370BD" w:rsidRPr="00F34FE7">
        <w:rPr>
          <w:rStyle w:val="BookTitle"/>
          <w:i w:val="0"/>
          <w:iCs w:val="0"/>
          <w:smallCaps w:val="0"/>
          <w:spacing w:val="0"/>
        </w:rPr>
        <w:t xml:space="preserve"> assessors. </w:t>
      </w:r>
      <w:r w:rsidR="008C5EE5" w:rsidRPr="00F34FE7">
        <w:rPr>
          <w:rStyle w:val="BookTitle"/>
          <w:i w:val="0"/>
          <w:iCs w:val="0"/>
          <w:smallCaps w:val="0"/>
          <w:spacing w:val="0"/>
        </w:rPr>
        <w:t xml:space="preserve">Given that BSWAT assessments ceased following the </w:t>
      </w:r>
      <w:r w:rsidR="00C24F5D">
        <w:rPr>
          <w:rStyle w:val="BookTitle"/>
          <w:i w:val="0"/>
          <w:iCs w:val="0"/>
          <w:smallCaps w:val="0"/>
          <w:spacing w:val="0"/>
        </w:rPr>
        <w:br/>
      </w:r>
      <w:r w:rsidR="008C5EE5" w:rsidRPr="00F34FE7">
        <w:rPr>
          <w:rStyle w:val="BookTitle"/>
          <w:i w:val="0"/>
          <w:iCs w:val="0"/>
          <w:smallCaps w:val="0"/>
          <w:spacing w:val="0"/>
        </w:rPr>
        <w:t>21 De</w:t>
      </w:r>
      <w:r w:rsidR="008C5EE5">
        <w:rPr>
          <w:rStyle w:val="BookTitle"/>
          <w:i w:val="0"/>
          <w:iCs w:val="0"/>
          <w:smallCaps w:val="0"/>
          <w:spacing w:val="0"/>
        </w:rPr>
        <w:t>cember 2012</w:t>
      </w:r>
      <w:r w:rsidR="008C5EE5" w:rsidRPr="00F34FE7">
        <w:rPr>
          <w:rStyle w:val="BookTitle"/>
          <w:i w:val="0"/>
          <w:iCs w:val="0"/>
          <w:smallCaps w:val="0"/>
          <w:spacing w:val="0"/>
        </w:rPr>
        <w:t xml:space="preserve"> </w:t>
      </w:r>
      <w:r w:rsidR="00C24F5D">
        <w:rPr>
          <w:rStyle w:val="BookTitle"/>
          <w:i w:val="0"/>
          <w:iCs w:val="0"/>
          <w:smallCaps w:val="0"/>
          <w:spacing w:val="0"/>
        </w:rPr>
        <w:t xml:space="preserve">Full </w:t>
      </w:r>
      <w:r w:rsidR="008C5EE5" w:rsidRPr="00F34FE7">
        <w:rPr>
          <w:rStyle w:val="BookTitle"/>
          <w:i w:val="0"/>
          <w:iCs w:val="0"/>
          <w:smallCaps w:val="0"/>
          <w:spacing w:val="0"/>
        </w:rPr>
        <w:t xml:space="preserve">Federal Court Decision, there will be </w:t>
      </w:r>
      <w:r w:rsidR="008C5EE5">
        <w:rPr>
          <w:rStyle w:val="BookTitle"/>
          <w:i w:val="0"/>
          <w:iCs w:val="0"/>
          <w:smallCaps w:val="0"/>
          <w:spacing w:val="0"/>
        </w:rPr>
        <w:t>a significant</w:t>
      </w:r>
      <w:r w:rsidR="008C5EE5" w:rsidRPr="00F34FE7">
        <w:rPr>
          <w:rStyle w:val="BookTitle"/>
          <w:i w:val="0"/>
          <w:iCs w:val="0"/>
          <w:smallCaps w:val="0"/>
          <w:spacing w:val="0"/>
        </w:rPr>
        <w:t xml:space="preserve"> number of people who have out of date or lapsed BSWAT assessments.</w:t>
      </w:r>
    </w:p>
    <w:p w:rsidR="002A55FA" w:rsidRPr="00F34FE7" w:rsidRDefault="002A55FA" w:rsidP="002A55FA">
      <w:pPr>
        <w:pStyle w:val="ListParagraph"/>
        <w:numPr>
          <w:ilvl w:val="0"/>
          <w:numId w:val="11"/>
        </w:numPr>
        <w:rPr>
          <w:rStyle w:val="BookTitle"/>
          <w:i w:val="0"/>
          <w:iCs w:val="0"/>
          <w:smallCaps w:val="0"/>
          <w:spacing w:val="0"/>
        </w:rPr>
      </w:pPr>
      <w:r w:rsidRPr="00F34FE7">
        <w:rPr>
          <w:rStyle w:val="BookTitle"/>
          <w:i w:val="0"/>
          <w:iCs w:val="0"/>
          <w:smallCaps w:val="0"/>
          <w:spacing w:val="0"/>
        </w:rPr>
        <w:t xml:space="preserve">The Fair Work Commission would need to approve the change to the structure of the BSWAT for </w:t>
      </w:r>
      <w:r>
        <w:rPr>
          <w:rStyle w:val="BookTitle"/>
          <w:i w:val="0"/>
          <w:iCs w:val="0"/>
          <w:smallCaps w:val="0"/>
          <w:spacing w:val="0"/>
        </w:rPr>
        <w:t>inclusion</w:t>
      </w:r>
      <w:r w:rsidRPr="00F34FE7">
        <w:rPr>
          <w:rStyle w:val="BookTitle"/>
          <w:i w:val="0"/>
          <w:iCs w:val="0"/>
          <w:smallCaps w:val="0"/>
          <w:spacing w:val="0"/>
        </w:rPr>
        <w:t xml:space="preserve"> in the Supported Employment Services Award.</w:t>
      </w:r>
    </w:p>
    <w:p w:rsidR="004A6BFE" w:rsidRDefault="00784893" w:rsidP="00BC5ED9">
      <w:pPr>
        <w:pStyle w:val="ListParagraph"/>
        <w:numPr>
          <w:ilvl w:val="0"/>
          <w:numId w:val="11"/>
        </w:numPr>
        <w:rPr>
          <w:rStyle w:val="BookTitle"/>
          <w:i w:val="0"/>
          <w:iCs w:val="0"/>
          <w:smallCaps w:val="0"/>
          <w:spacing w:val="0"/>
        </w:rPr>
      </w:pPr>
      <w:r w:rsidRPr="00F34FE7">
        <w:rPr>
          <w:rStyle w:val="BookTitle"/>
          <w:i w:val="0"/>
          <w:iCs w:val="0"/>
          <w:smallCaps w:val="0"/>
          <w:spacing w:val="0"/>
        </w:rPr>
        <w:t>Designing</w:t>
      </w:r>
      <w:r w:rsidR="0011052E" w:rsidRPr="00F34FE7">
        <w:rPr>
          <w:rStyle w:val="BookTitle"/>
          <w:i w:val="0"/>
          <w:iCs w:val="0"/>
          <w:smallCaps w:val="0"/>
          <w:spacing w:val="0"/>
        </w:rPr>
        <w:t xml:space="preserve"> sector sustainability options and </w:t>
      </w:r>
      <w:r w:rsidRPr="00F34FE7">
        <w:rPr>
          <w:rStyle w:val="BookTitle"/>
          <w:i w:val="0"/>
          <w:iCs w:val="0"/>
          <w:smallCaps w:val="0"/>
          <w:spacing w:val="0"/>
        </w:rPr>
        <w:t>implementing</w:t>
      </w:r>
      <w:r w:rsidR="0011052E" w:rsidRPr="00F34FE7">
        <w:rPr>
          <w:rStyle w:val="BookTitle"/>
          <w:i w:val="0"/>
          <w:iCs w:val="0"/>
          <w:smallCaps w:val="0"/>
          <w:spacing w:val="0"/>
        </w:rPr>
        <w:t xml:space="preserve"> a strategy to support ADEs to absorb increased wages</w:t>
      </w:r>
    </w:p>
    <w:p w:rsidR="00BC5ED9" w:rsidRPr="00BC5ED9" w:rsidRDefault="00BC5ED9" w:rsidP="00BC5ED9">
      <w:pPr>
        <w:pStyle w:val="ListParagraph"/>
        <w:rPr>
          <w:rStyle w:val="BookTitle"/>
          <w:i w:val="0"/>
          <w:iCs w:val="0"/>
          <w:smallCaps w:val="0"/>
          <w:spacing w:val="0"/>
        </w:rPr>
      </w:pPr>
    </w:p>
    <w:p w:rsidR="00721751" w:rsidRPr="00F34FE7" w:rsidRDefault="00B623C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What tools are currently </w:t>
      </w:r>
      <w:r w:rsidR="00C24F5D">
        <w:rPr>
          <w:rStyle w:val="BookTitle"/>
          <w:b/>
          <w:i w:val="0"/>
          <w:iCs w:val="0"/>
          <w:smallCaps w:val="0"/>
          <w:spacing w:val="0"/>
        </w:rPr>
        <w:t>used to assess the 50%</w:t>
      </w:r>
      <w:r w:rsidRPr="00F34FE7">
        <w:rPr>
          <w:rStyle w:val="BookTitle"/>
          <w:b/>
          <w:i w:val="0"/>
          <w:iCs w:val="0"/>
          <w:smallCaps w:val="0"/>
          <w:spacing w:val="0"/>
        </w:rPr>
        <w:t xml:space="preserve"> of employees of ADEs that are not assessed by BSWAT?</w:t>
      </w:r>
    </w:p>
    <w:p w:rsidR="008856B7" w:rsidRPr="00F34FE7" w:rsidRDefault="008856B7" w:rsidP="008856B7">
      <w:pPr>
        <w:pStyle w:val="ListParagraph"/>
        <w:ind w:left="426"/>
        <w:rPr>
          <w:rStyle w:val="BookTitle"/>
          <w:b/>
          <w:i w:val="0"/>
          <w:iCs w:val="0"/>
          <w:smallCaps w:val="0"/>
          <w:spacing w:val="0"/>
        </w:rPr>
      </w:pPr>
    </w:p>
    <w:p w:rsidR="002A55FA" w:rsidRDefault="002A55FA" w:rsidP="002A55FA">
      <w:pPr>
        <w:pStyle w:val="ListParagraph"/>
        <w:numPr>
          <w:ilvl w:val="0"/>
          <w:numId w:val="16"/>
        </w:numPr>
        <w:rPr>
          <w:rFonts w:cs="Arial"/>
        </w:rPr>
      </w:pPr>
      <w:r>
        <w:rPr>
          <w:rFonts w:cs="Arial"/>
        </w:rPr>
        <w:t>Although t</w:t>
      </w:r>
      <w:r w:rsidRPr="00822618">
        <w:rPr>
          <w:rFonts w:cs="Arial"/>
        </w:rPr>
        <w:t>he Department does not have specific information about each organisation’s industrial agreements including which wage tool they might be using</w:t>
      </w:r>
      <w:r>
        <w:rPr>
          <w:rFonts w:cs="Arial"/>
        </w:rPr>
        <w:t xml:space="preserve">, the four main tools currently used are BSWAT, SWS, </w:t>
      </w:r>
      <w:proofErr w:type="spellStart"/>
      <w:r>
        <w:rPr>
          <w:rFonts w:cs="Arial"/>
        </w:rPr>
        <w:t>SkillsMaster</w:t>
      </w:r>
      <w:proofErr w:type="spellEnd"/>
      <w:r>
        <w:rPr>
          <w:rFonts w:cs="Arial"/>
        </w:rPr>
        <w:t xml:space="preserve"> and Greenacres. </w:t>
      </w:r>
    </w:p>
    <w:p w:rsidR="005333CE" w:rsidRDefault="005333CE">
      <w:pPr>
        <w:rPr>
          <w:rFonts w:cs="Arial"/>
        </w:rPr>
      </w:pPr>
      <w:r>
        <w:rPr>
          <w:rFonts w:cs="Arial"/>
        </w:rPr>
        <w:br w:type="page"/>
      </w:r>
    </w:p>
    <w:p w:rsidR="002351CD" w:rsidRPr="00E4325A" w:rsidRDefault="00E4325A" w:rsidP="00A03BE3">
      <w:pPr>
        <w:pStyle w:val="ListParagraph"/>
        <w:numPr>
          <w:ilvl w:val="0"/>
          <w:numId w:val="16"/>
        </w:numPr>
        <w:rPr>
          <w:rFonts w:cs="Arial"/>
        </w:rPr>
      </w:pPr>
      <w:r w:rsidRPr="00E4325A">
        <w:rPr>
          <w:rFonts w:cs="Arial"/>
        </w:rPr>
        <w:lastRenderedPageBreak/>
        <w:t>I</w:t>
      </w:r>
      <w:r w:rsidR="00822618" w:rsidRPr="00E4325A">
        <w:rPr>
          <w:rFonts w:cs="Arial"/>
        </w:rPr>
        <w:t xml:space="preserve">n addition to the BSWAT and SWS, </w:t>
      </w:r>
      <w:r w:rsidR="00067306">
        <w:rPr>
          <w:rFonts w:cs="Arial"/>
        </w:rPr>
        <w:t xml:space="preserve">being </w:t>
      </w:r>
      <w:r w:rsidR="00822618" w:rsidRPr="00E4325A">
        <w:rPr>
          <w:rFonts w:cs="Arial"/>
        </w:rPr>
        <w:t>the only two wage assessment tools owned by the Australian Government</w:t>
      </w:r>
      <w:r w:rsidR="009637AE">
        <w:rPr>
          <w:rFonts w:cs="Arial"/>
        </w:rPr>
        <w:t>,</w:t>
      </w:r>
      <w:r w:rsidR="00822618" w:rsidRPr="00E4325A">
        <w:rPr>
          <w:rFonts w:cs="Arial"/>
        </w:rPr>
        <w:t xml:space="preserve"> </w:t>
      </w:r>
      <w:r w:rsidRPr="00E4325A">
        <w:rPr>
          <w:rFonts w:cs="Arial"/>
        </w:rPr>
        <w:t xml:space="preserve">there are 28 other wage tools named in the </w:t>
      </w:r>
      <w:r w:rsidRPr="00C24F5D">
        <w:rPr>
          <w:rFonts w:cs="Arial"/>
          <w:i/>
        </w:rPr>
        <w:t>Supported Employment Services Modern Award 2010</w:t>
      </w:r>
      <w:r w:rsidRPr="00E4325A">
        <w:rPr>
          <w:rFonts w:cs="Arial"/>
        </w:rPr>
        <w:t xml:space="preserve"> (see Attachment A). </w:t>
      </w:r>
      <w:r w:rsidR="00A03BE3" w:rsidRPr="00E4325A">
        <w:rPr>
          <w:rFonts w:cs="Arial"/>
        </w:rPr>
        <w:t>Five of the approved tools listed in the Award are either for specific use by the organisation named in the tool or other organisations that were using those partic</w:t>
      </w:r>
      <w:r w:rsidR="00BC5ED9">
        <w:rPr>
          <w:rFonts w:cs="Arial"/>
        </w:rPr>
        <w:t>ular tools before mid-</w:t>
      </w:r>
      <w:r w:rsidR="00826C63" w:rsidRPr="00E4325A">
        <w:rPr>
          <w:rFonts w:cs="Arial"/>
        </w:rPr>
        <w:t>2005.</w:t>
      </w:r>
    </w:p>
    <w:p w:rsidR="006838C8" w:rsidRDefault="005B61D6" w:rsidP="006838C8">
      <w:pPr>
        <w:pStyle w:val="ListParagraph"/>
        <w:numPr>
          <w:ilvl w:val="0"/>
          <w:numId w:val="16"/>
        </w:numPr>
        <w:rPr>
          <w:rFonts w:cs="Arial"/>
        </w:rPr>
      </w:pPr>
      <w:r w:rsidRPr="006838C8">
        <w:rPr>
          <w:rFonts w:cs="Arial"/>
        </w:rPr>
        <w:t>T</w:t>
      </w:r>
      <w:r w:rsidR="001E56B1" w:rsidRPr="006838C8">
        <w:rPr>
          <w:rFonts w:cs="Arial"/>
        </w:rPr>
        <w:t xml:space="preserve">he Department is </w:t>
      </w:r>
      <w:r w:rsidR="00DB7978" w:rsidRPr="006838C8">
        <w:rPr>
          <w:rFonts w:cs="Arial"/>
        </w:rPr>
        <w:t xml:space="preserve">also </w:t>
      </w:r>
      <w:r w:rsidR="001E56B1" w:rsidRPr="006838C8">
        <w:rPr>
          <w:rFonts w:cs="Arial"/>
        </w:rPr>
        <w:t>aware that some tools are either no longer in use or are in the process of being phased out</w:t>
      </w:r>
      <w:r w:rsidR="006838C8" w:rsidRPr="006838C8">
        <w:rPr>
          <w:rFonts w:cs="Arial"/>
        </w:rPr>
        <w:t xml:space="preserve">. </w:t>
      </w:r>
    </w:p>
    <w:p w:rsidR="006838C8" w:rsidRPr="006838C8" w:rsidRDefault="006838C8" w:rsidP="006838C8">
      <w:pPr>
        <w:pStyle w:val="ListParagraph"/>
        <w:rPr>
          <w:rFonts w:cs="Arial"/>
        </w:rPr>
      </w:pPr>
    </w:p>
    <w:p w:rsidR="00A03BE3" w:rsidRPr="00F34FE7" w:rsidRDefault="00A03BE3"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are the arguments for and against the use of these other tools in place of BSWAT?</w:t>
      </w:r>
    </w:p>
    <w:p w:rsidR="006838C8" w:rsidRPr="006838C8" w:rsidRDefault="002A55FA" w:rsidP="004A6BFE">
      <w:pPr>
        <w:rPr>
          <w:rStyle w:val="BookTitle"/>
          <w:i w:val="0"/>
          <w:iCs w:val="0"/>
          <w:smallCaps w:val="0"/>
          <w:spacing w:val="0"/>
        </w:rPr>
      </w:pPr>
      <w:r>
        <w:rPr>
          <w:rStyle w:val="BookTitle"/>
          <w:i w:val="0"/>
          <w:iCs w:val="0"/>
          <w:smallCaps w:val="0"/>
          <w:spacing w:val="0"/>
        </w:rPr>
        <w:t>Employer</w:t>
      </w:r>
      <w:r w:rsidR="006838C8" w:rsidRPr="006838C8">
        <w:rPr>
          <w:rStyle w:val="BookTitle"/>
          <w:i w:val="0"/>
          <w:iCs w:val="0"/>
          <w:smallCaps w:val="0"/>
          <w:spacing w:val="0"/>
        </w:rPr>
        <w:t xml:space="preserve">s will have their own views about what best </w:t>
      </w:r>
      <w:r>
        <w:rPr>
          <w:rStyle w:val="BookTitle"/>
          <w:i w:val="0"/>
          <w:iCs w:val="0"/>
          <w:smallCaps w:val="0"/>
          <w:spacing w:val="0"/>
        </w:rPr>
        <w:t>suits their circumstances</w:t>
      </w:r>
      <w:r w:rsidR="00067306">
        <w:rPr>
          <w:rStyle w:val="BookTitle"/>
          <w:i w:val="0"/>
          <w:iCs w:val="0"/>
          <w:smallCaps w:val="0"/>
          <w:spacing w:val="0"/>
        </w:rPr>
        <w:t xml:space="preserve"> (and the Commonwealth is generally not aware of these circumstances)</w:t>
      </w:r>
      <w:r>
        <w:rPr>
          <w:rStyle w:val="BookTitle"/>
          <w:i w:val="0"/>
          <w:iCs w:val="0"/>
          <w:smallCaps w:val="0"/>
          <w:spacing w:val="0"/>
        </w:rPr>
        <w:t xml:space="preserve"> </w:t>
      </w:r>
      <w:r w:rsidR="006838C8" w:rsidRPr="006838C8">
        <w:rPr>
          <w:rStyle w:val="BookTitle"/>
          <w:i w:val="0"/>
          <w:iCs w:val="0"/>
          <w:smallCaps w:val="0"/>
          <w:spacing w:val="0"/>
        </w:rPr>
        <w:t>however</w:t>
      </w:r>
      <w:r w:rsidR="005B2A1D">
        <w:rPr>
          <w:rStyle w:val="BookTitle"/>
          <w:i w:val="0"/>
          <w:iCs w:val="0"/>
          <w:smallCaps w:val="0"/>
          <w:spacing w:val="0"/>
        </w:rPr>
        <w:t>,</w:t>
      </w:r>
      <w:r w:rsidR="006838C8" w:rsidRPr="006838C8">
        <w:rPr>
          <w:rStyle w:val="BookTitle"/>
          <w:i w:val="0"/>
          <w:iCs w:val="0"/>
          <w:smallCaps w:val="0"/>
          <w:spacing w:val="0"/>
        </w:rPr>
        <w:t xml:space="preserve"> some arguments may include:</w:t>
      </w:r>
    </w:p>
    <w:p w:rsidR="00E4325A" w:rsidRPr="00E4325A" w:rsidRDefault="004401FA" w:rsidP="00E4325A">
      <w:pPr>
        <w:pStyle w:val="ListParagraph"/>
        <w:numPr>
          <w:ilvl w:val="0"/>
          <w:numId w:val="16"/>
        </w:numPr>
        <w:rPr>
          <w:rStyle w:val="BookTitle"/>
          <w:i w:val="0"/>
          <w:iCs w:val="0"/>
          <w:smallCaps w:val="0"/>
          <w:spacing w:val="0"/>
        </w:rPr>
      </w:pPr>
      <w:r w:rsidRPr="00E4325A">
        <w:rPr>
          <w:rStyle w:val="BookTitle"/>
          <w:i w:val="0"/>
          <w:iCs w:val="0"/>
          <w:smallCaps w:val="0"/>
          <w:spacing w:val="0"/>
        </w:rPr>
        <w:t xml:space="preserve">In contrast to the other 28 tools listed in the </w:t>
      </w:r>
      <w:r w:rsidRPr="0053619D">
        <w:rPr>
          <w:rStyle w:val="BookTitle"/>
          <w:iCs w:val="0"/>
          <w:smallCaps w:val="0"/>
          <w:spacing w:val="0"/>
        </w:rPr>
        <w:t>Supported Employment Services Modern Award 2010</w:t>
      </w:r>
      <w:r w:rsidRPr="00E4325A">
        <w:rPr>
          <w:rStyle w:val="BookTitle"/>
          <w:i w:val="0"/>
          <w:iCs w:val="0"/>
          <w:smallCaps w:val="0"/>
          <w:spacing w:val="0"/>
        </w:rPr>
        <w:t>, for employers using the SWS or the BSWAT there are only minimal costs involved</w:t>
      </w:r>
      <w:r w:rsidR="00890796">
        <w:rPr>
          <w:rStyle w:val="BookTitle"/>
          <w:i w:val="0"/>
          <w:iCs w:val="0"/>
          <w:smallCaps w:val="0"/>
          <w:spacing w:val="0"/>
        </w:rPr>
        <w:t xml:space="preserve"> as the Australian Government pays for assessments using these two tools. </w:t>
      </w:r>
    </w:p>
    <w:p w:rsidR="004401FA" w:rsidRPr="00E4325A" w:rsidRDefault="004401FA" w:rsidP="00E4325A">
      <w:pPr>
        <w:pStyle w:val="ListParagraph"/>
        <w:numPr>
          <w:ilvl w:val="0"/>
          <w:numId w:val="16"/>
        </w:numPr>
        <w:rPr>
          <w:rStyle w:val="BookTitle"/>
          <w:i w:val="0"/>
          <w:iCs w:val="0"/>
          <w:smallCaps w:val="0"/>
          <w:spacing w:val="0"/>
        </w:rPr>
      </w:pPr>
      <w:r w:rsidRPr="00E4325A">
        <w:rPr>
          <w:rStyle w:val="BookTitle"/>
          <w:i w:val="0"/>
          <w:iCs w:val="0"/>
          <w:smallCaps w:val="0"/>
          <w:spacing w:val="0"/>
        </w:rPr>
        <w:t>SWS and the BSWAT are the only tools independently assessed</w:t>
      </w:r>
      <w:r w:rsidR="00146635" w:rsidRPr="00E4325A">
        <w:rPr>
          <w:rStyle w:val="BookTitle"/>
          <w:i w:val="0"/>
          <w:iCs w:val="0"/>
          <w:smallCaps w:val="0"/>
          <w:spacing w:val="0"/>
        </w:rPr>
        <w:t xml:space="preserve">. This transparency </w:t>
      </w:r>
      <w:r w:rsidRPr="00E4325A">
        <w:rPr>
          <w:rStyle w:val="BookTitle"/>
          <w:i w:val="0"/>
          <w:iCs w:val="0"/>
          <w:smallCaps w:val="0"/>
          <w:spacing w:val="0"/>
        </w:rPr>
        <w:t xml:space="preserve">is a factor </w:t>
      </w:r>
      <w:r w:rsidR="00E4325A" w:rsidRPr="00E4325A">
        <w:rPr>
          <w:rStyle w:val="BookTitle"/>
          <w:i w:val="0"/>
          <w:iCs w:val="0"/>
          <w:smallCaps w:val="0"/>
          <w:spacing w:val="0"/>
        </w:rPr>
        <w:t xml:space="preserve">which </w:t>
      </w:r>
      <w:r w:rsidR="002A55FA">
        <w:rPr>
          <w:rStyle w:val="BookTitle"/>
          <w:i w:val="0"/>
          <w:iCs w:val="0"/>
          <w:smallCaps w:val="0"/>
          <w:spacing w:val="0"/>
        </w:rPr>
        <w:t>is</w:t>
      </w:r>
      <w:r w:rsidR="00E4325A" w:rsidRPr="00E4325A">
        <w:rPr>
          <w:rStyle w:val="BookTitle"/>
          <w:i w:val="0"/>
          <w:iCs w:val="0"/>
          <w:smallCaps w:val="0"/>
          <w:spacing w:val="0"/>
        </w:rPr>
        <w:t xml:space="preserve"> </w:t>
      </w:r>
      <w:r w:rsidRPr="00E4325A">
        <w:rPr>
          <w:rStyle w:val="BookTitle"/>
          <w:i w:val="0"/>
          <w:iCs w:val="0"/>
          <w:smallCaps w:val="0"/>
          <w:spacing w:val="0"/>
        </w:rPr>
        <w:t>valued by both employers and advocates.</w:t>
      </w:r>
    </w:p>
    <w:p w:rsidR="002101FC" w:rsidRPr="00F34FE7" w:rsidRDefault="002101FC" w:rsidP="002101FC">
      <w:pPr>
        <w:pStyle w:val="ListParagraph"/>
      </w:pPr>
    </w:p>
    <w:p w:rsidR="00B623CC" w:rsidRPr="00F34FE7" w:rsidRDefault="00B623C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evidence or analysis is available, or has been done, to support the submission that ADEs would close as a result of the increased wages?</w:t>
      </w:r>
    </w:p>
    <w:p w:rsidR="002101FC" w:rsidRDefault="002101FC" w:rsidP="002101FC">
      <w:pPr>
        <w:pStyle w:val="ListParagraph"/>
        <w:ind w:left="426"/>
        <w:rPr>
          <w:rStyle w:val="BookTitle"/>
          <w:b/>
          <w:i w:val="0"/>
          <w:iCs w:val="0"/>
          <w:smallCaps w:val="0"/>
          <w:spacing w:val="0"/>
        </w:rPr>
      </w:pPr>
    </w:p>
    <w:p w:rsidR="00822618" w:rsidRDefault="00822618" w:rsidP="00822618">
      <w:pPr>
        <w:pStyle w:val="ListParagraph"/>
        <w:numPr>
          <w:ilvl w:val="0"/>
          <w:numId w:val="19"/>
        </w:numPr>
        <w:rPr>
          <w:rStyle w:val="BookTitle"/>
          <w:i w:val="0"/>
          <w:iCs w:val="0"/>
          <w:smallCaps w:val="0"/>
          <w:spacing w:val="0"/>
        </w:rPr>
      </w:pPr>
      <w:r w:rsidRPr="00F34FE7">
        <w:rPr>
          <w:rStyle w:val="BookTitle"/>
          <w:i w:val="0"/>
          <w:iCs w:val="0"/>
          <w:smallCaps w:val="0"/>
          <w:spacing w:val="0"/>
        </w:rPr>
        <w:t>ADEs are mostly not-for-profit organisations with a dual focus on supporting people with disability in employment and operating a viable operation. Many ADEs do not make significant surpluses and some operate at a loss – this information is published in organisations’ Annual Reports.</w:t>
      </w:r>
    </w:p>
    <w:p w:rsidR="00E701BD" w:rsidRPr="00F34FE7" w:rsidRDefault="00E701BD" w:rsidP="00822618">
      <w:pPr>
        <w:pStyle w:val="ListParagraph"/>
        <w:numPr>
          <w:ilvl w:val="0"/>
          <w:numId w:val="19"/>
        </w:numPr>
        <w:rPr>
          <w:rStyle w:val="BookTitle"/>
          <w:i w:val="0"/>
          <w:iCs w:val="0"/>
          <w:smallCaps w:val="0"/>
          <w:spacing w:val="0"/>
        </w:rPr>
      </w:pPr>
      <w:r>
        <w:rPr>
          <w:rStyle w:val="BookTitle"/>
          <w:i w:val="0"/>
          <w:iCs w:val="0"/>
          <w:smallCaps w:val="0"/>
          <w:spacing w:val="0"/>
        </w:rPr>
        <w:t xml:space="preserve">Departmental analysis of </w:t>
      </w:r>
      <w:r w:rsidR="000F1805">
        <w:rPr>
          <w:rStyle w:val="BookTitle"/>
          <w:i w:val="0"/>
          <w:iCs w:val="0"/>
          <w:smallCaps w:val="0"/>
          <w:spacing w:val="0"/>
        </w:rPr>
        <w:t xml:space="preserve">2011-12 </w:t>
      </w:r>
      <w:r>
        <w:rPr>
          <w:rStyle w:val="BookTitle"/>
          <w:i w:val="0"/>
          <w:iCs w:val="0"/>
          <w:smallCaps w:val="0"/>
          <w:spacing w:val="0"/>
        </w:rPr>
        <w:t xml:space="preserve">financial statements provided by ADEs show that 92 </w:t>
      </w:r>
      <w:r w:rsidR="000F1805">
        <w:rPr>
          <w:rStyle w:val="BookTitle"/>
          <w:i w:val="0"/>
          <w:iCs w:val="0"/>
          <w:smallCaps w:val="0"/>
          <w:spacing w:val="0"/>
        </w:rPr>
        <w:t>organisations</w:t>
      </w:r>
      <w:r>
        <w:rPr>
          <w:rStyle w:val="BookTitle"/>
          <w:i w:val="0"/>
          <w:iCs w:val="0"/>
          <w:smallCaps w:val="0"/>
          <w:spacing w:val="0"/>
        </w:rPr>
        <w:t xml:space="preserve"> or 48 per cent</w:t>
      </w:r>
      <w:r w:rsidR="000F1805">
        <w:rPr>
          <w:rStyle w:val="BookTitle"/>
          <w:i w:val="0"/>
          <w:iCs w:val="0"/>
          <w:smallCaps w:val="0"/>
          <w:spacing w:val="0"/>
        </w:rPr>
        <w:t xml:space="preserve"> of </w:t>
      </w:r>
      <w:proofErr w:type="gramStart"/>
      <w:r w:rsidR="000F1805">
        <w:rPr>
          <w:rStyle w:val="BookTitle"/>
          <w:i w:val="0"/>
          <w:iCs w:val="0"/>
          <w:smallCaps w:val="0"/>
          <w:spacing w:val="0"/>
        </w:rPr>
        <w:t>ADEs</w:t>
      </w:r>
      <w:r w:rsidR="005373F7">
        <w:rPr>
          <w:rStyle w:val="BookTitle"/>
          <w:i w:val="0"/>
          <w:iCs w:val="0"/>
          <w:smallCaps w:val="0"/>
          <w:spacing w:val="0"/>
        </w:rPr>
        <w:t>,</w:t>
      </w:r>
      <w:proofErr w:type="gramEnd"/>
      <w:r>
        <w:rPr>
          <w:rStyle w:val="BookTitle"/>
          <w:i w:val="0"/>
          <w:iCs w:val="0"/>
          <w:smallCaps w:val="0"/>
          <w:spacing w:val="0"/>
        </w:rPr>
        <w:t xml:space="preserve"> </w:t>
      </w:r>
      <w:r w:rsidR="005373F7">
        <w:rPr>
          <w:rStyle w:val="BookTitle"/>
          <w:i w:val="0"/>
          <w:iCs w:val="0"/>
          <w:smallCaps w:val="0"/>
          <w:spacing w:val="0"/>
        </w:rPr>
        <w:t>had a</w:t>
      </w:r>
      <w:r>
        <w:rPr>
          <w:rStyle w:val="BookTitle"/>
          <w:i w:val="0"/>
          <w:iCs w:val="0"/>
          <w:smallCaps w:val="0"/>
          <w:spacing w:val="0"/>
        </w:rPr>
        <w:t xml:space="preserve"> medium to high risk of failure</w:t>
      </w:r>
      <w:r w:rsidR="005373F7">
        <w:rPr>
          <w:rStyle w:val="BookTitle"/>
          <w:i w:val="0"/>
          <w:iCs w:val="0"/>
          <w:smallCaps w:val="0"/>
          <w:spacing w:val="0"/>
        </w:rPr>
        <w:t xml:space="preserve">, with 28 </w:t>
      </w:r>
      <w:r w:rsidR="00067306">
        <w:rPr>
          <w:rStyle w:val="BookTitle"/>
          <w:i w:val="0"/>
          <w:iCs w:val="0"/>
          <w:smallCaps w:val="0"/>
          <w:spacing w:val="0"/>
        </w:rPr>
        <w:t xml:space="preserve">of remaining organisations </w:t>
      </w:r>
      <w:r w:rsidR="005373F7">
        <w:rPr>
          <w:rStyle w:val="BookTitle"/>
          <w:i w:val="0"/>
          <w:iCs w:val="0"/>
          <w:smallCaps w:val="0"/>
          <w:spacing w:val="0"/>
        </w:rPr>
        <w:t xml:space="preserve">remaining at the high risk rating for two or more consecutive years. Data for 2012-13 is not yet available however there is no indication that the picture has changed significantly. </w:t>
      </w:r>
    </w:p>
    <w:p w:rsidR="00026F46" w:rsidRDefault="00822618" w:rsidP="00A71999">
      <w:pPr>
        <w:pStyle w:val="ListParagraph"/>
        <w:numPr>
          <w:ilvl w:val="0"/>
          <w:numId w:val="19"/>
        </w:numPr>
        <w:rPr>
          <w:rStyle w:val="BookTitle"/>
          <w:i w:val="0"/>
          <w:iCs w:val="0"/>
          <w:smallCaps w:val="0"/>
          <w:spacing w:val="0"/>
        </w:rPr>
      </w:pPr>
      <w:r>
        <w:rPr>
          <w:rStyle w:val="BookTitle"/>
          <w:i w:val="0"/>
          <w:iCs w:val="0"/>
          <w:smallCaps w:val="0"/>
          <w:spacing w:val="0"/>
        </w:rPr>
        <w:t>Since December 2012</w:t>
      </w:r>
      <w:r w:rsidR="00FD3A99" w:rsidRPr="00F34FE7">
        <w:rPr>
          <w:rStyle w:val="BookTitle"/>
          <w:i w:val="0"/>
          <w:iCs w:val="0"/>
          <w:smallCaps w:val="0"/>
          <w:spacing w:val="0"/>
        </w:rPr>
        <w:t>, t</w:t>
      </w:r>
      <w:r w:rsidR="00DD68E5" w:rsidRPr="00F34FE7">
        <w:rPr>
          <w:rStyle w:val="BookTitle"/>
          <w:i w:val="0"/>
          <w:iCs w:val="0"/>
          <w:smallCaps w:val="0"/>
          <w:spacing w:val="0"/>
        </w:rPr>
        <w:t>he Department has receive</w:t>
      </w:r>
      <w:r w:rsidR="001D11D3" w:rsidRPr="00F34FE7">
        <w:rPr>
          <w:rStyle w:val="BookTitle"/>
          <w:i w:val="0"/>
          <w:iCs w:val="0"/>
          <w:smallCaps w:val="0"/>
          <w:spacing w:val="0"/>
        </w:rPr>
        <w:t>d</w:t>
      </w:r>
      <w:r w:rsidR="00DD68E5" w:rsidRPr="00F34FE7">
        <w:rPr>
          <w:rStyle w:val="BookTitle"/>
          <w:i w:val="0"/>
          <w:iCs w:val="0"/>
          <w:smallCaps w:val="0"/>
          <w:spacing w:val="0"/>
        </w:rPr>
        <w:t xml:space="preserve"> consistent anecdotal advice from ADEs that </w:t>
      </w:r>
      <w:r w:rsidR="00B94A54" w:rsidRPr="00F34FE7">
        <w:rPr>
          <w:rStyle w:val="BookTitle"/>
          <w:i w:val="0"/>
          <w:iCs w:val="0"/>
          <w:smallCaps w:val="0"/>
          <w:spacing w:val="0"/>
        </w:rPr>
        <w:t>many organisations</w:t>
      </w:r>
      <w:r w:rsidR="008E6A4B" w:rsidRPr="00F34FE7">
        <w:rPr>
          <w:rStyle w:val="BookTitle"/>
          <w:i w:val="0"/>
          <w:iCs w:val="0"/>
          <w:smallCaps w:val="0"/>
          <w:spacing w:val="0"/>
        </w:rPr>
        <w:t xml:space="preserve"> will not </w:t>
      </w:r>
      <w:r w:rsidR="00026F46" w:rsidRPr="00F34FE7">
        <w:rPr>
          <w:rStyle w:val="BookTitle"/>
          <w:i w:val="0"/>
          <w:iCs w:val="0"/>
          <w:smallCaps w:val="0"/>
          <w:spacing w:val="0"/>
        </w:rPr>
        <w:t xml:space="preserve">remain </w:t>
      </w:r>
      <w:r w:rsidR="008E6A4B" w:rsidRPr="00F34FE7">
        <w:rPr>
          <w:rStyle w:val="BookTitle"/>
          <w:i w:val="0"/>
          <w:iCs w:val="0"/>
          <w:smallCaps w:val="0"/>
          <w:spacing w:val="0"/>
        </w:rPr>
        <w:t>via</w:t>
      </w:r>
      <w:r w:rsidR="00026F46" w:rsidRPr="00F34FE7">
        <w:rPr>
          <w:rStyle w:val="BookTitle"/>
          <w:i w:val="0"/>
          <w:iCs w:val="0"/>
          <w:smallCaps w:val="0"/>
          <w:spacing w:val="0"/>
        </w:rPr>
        <w:t>ble if they are required to meet increase</w:t>
      </w:r>
      <w:r w:rsidR="00146635">
        <w:rPr>
          <w:rStyle w:val="BookTitle"/>
          <w:i w:val="0"/>
          <w:iCs w:val="0"/>
          <w:smallCaps w:val="0"/>
          <w:spacing w:val="0"/>
        </w:rPr>
        <w:t>d</w:t>
      </w:r>
      <w:r w:rsidR="00026F46" w:rsidRPr="00F34FE7">
        <w:rPr>
          <w:rStyle w:val="BookTitle"/>
          <w:i w:val="0"/>
          <w:iCs w:val="0"/>
          <w:smallCaps w:val="0"/>
          <w:spacing w:val="0"/>
        </w:rPr>
        <w:t xml:space="preserve"> wages. This position is also strongly articulated in submissions </w:t>
      </w:r>
      <w:r w:rsidR="00DD68E5" w:rsidRPr="00F34FE7">
        <w:rPr>
          <w:rStyle w:val="BookTitle"/>
          <w:i w:val="0"/>
          <w:iCs w:val="0"/>
          <w:smallCaps w:val="0"/>
          <w:spacing w:val="0"/>
        </w:rPr>
        <w:t xml:space="preserve">to the AHRC </w:t>
      </w:r>
      <w:r w:rsidR="00026F46" w:rsidRPr="00F34FE7">
        <w:rPr>
          <w:rStyle w:val="BookTitle"/>
          <w:i w:val="0"/>
          <w:iCs w:val="0"/>
          <w:smallCaps w:val="0"/>
          <w:spacing w:val="0"/>
        </w:rPr>
        <w:t>in relation to this Application</w:t>
      </w:r>
      <w:r w:rsidR="00DD68E5" w:rsidRPr="00F34FE7">
        <w:rPr>
          <w:rStyle w:val="BookTitle"/>
          <w:i w:val="0"/>
          <w:iCs w:val="0"/>
          <w:smallCaps w:val="0"/>
          <w:spacing w:val="0"/>
        </w:rPr>
        <w:t>.</w:t>
      </w:r>
    </w:p>
    <w:p w:rsidR="002101FC" w:rsidRPr="00F34FE7" w:rsidRDefault="002101FC" w:rsidP="002101FC">
      <w:pPr>
        <w:pStyle w:val="ListParagraph"/>
        <w:rPr>
          <w:rStyle w:val="BookTitle"/>
          <w:i w:val="0"/>
          <w:iCs w:val="0"/>
          <w:smallCaps w:val="0"/>
          <w:spacing w:val="0"/>
        </w:rPr>
      </w:pPr>
    </w:p>
    <w:p w:rsidR="00B623CC" w:rsidRPr="00F34FE7" w:rsidRDefault="00B623C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consideration has been given to providing additional support to ADEs to assist them manage the additional costs resulting from increased wages?</w:t>
      </w:r>
    </w:p>
    <w:p w:rsidR="002101FC" w:rsidRDefault="002101FC" w:rsidP="002101FC">
      <w:pPr>
        <w:pStyle w:val="ListParagraph"/>
        <w:ind w:left="426"/>
        <w:rPr>
          <w:rStyle w:val="BookTitle"/>
          <w:b/>
          <w:i w:val="0"/>
          <w:iCs w:val="0"/>
          <w:smallCaps w:val="0"/>
          <w:spacing w:val="0"/>
        </w:rPr>
      </w:pPr>
    </w:p>
    <w:p w:rsidR="00F33DFC" w:rsidRPr="002B36C4" w:rsidRDefault="00F33DFC" w:rsidP="002B36C4">
      <w:pPr>
        <w:pStyle w:val="ListParagraph"/>
        <w:numPr>
          <w:ilvl w:val="0"/>
          <w:numId w:val="20"/>
        </w:numPr>
        <w:rPr>
          <w:rStyle w:val="BookTitle"/>
          <w:i w:val="0"/>
          <w:iCs w:val="0"/>
          <w:smallCaps w:val="0"/>
          <w:spacing w:val="0"/>
        </w:rPr>
      </w:pPr>
      <w:r w:rsidRPr="002B36C4">
        <w:rPr>
          <w:rStyle w:val="BookTitle"/>
          <w:i w:val="0"/>
          <w:iCs w:val="0"/>
          <w:smallCaps w:val="0"/>
          <w:spacing w:val="0"/>
        </w:rPr>
        <w:t xml:space="preserve">The Australian Government currently provides </w:t>
      </w:r>
      <w:r w:rsidR="002B36C4" w:rsidRPr="002B36C4">
        <w:rPr>
          <w:rStyle w:val="BookTitle"/>
          <w:i w:val="0"/>
          <w:iCs w:val="0"/>
          <w:smallCaps w:val="0"/>
          <w:spacing w:val="0"/>
        </w:rPr>
        <w:t xml:space="preserve">a budget of </w:t>
      </w:r>
      <w:r w:rsidRPr="002B36C4">
        <w:rPr>
          <w:rStyle w:val="BookTitle"/>
          <w:i w:val="0"/>
          <w:iCs w:val="0"/>
          <w:smallCaps w:val="0"/>
          <w:spacing w:val="0"/>
        </w:rPr>
        <w:t>$230</w:t>
      </w:r>
      <w:r w:rsidR="002B36C4" w:rsidRPr="002B36C4">
        <w:rPr>
          <w:rStyle w:val="BookTitle"/>
          <w:i w:val="0"/>
          <w:iCs w:val="0"/>
          <w:smallCaps w:val="0"/>
          <w:spacing w:val="0"/>
        </w:rPr>
        <w:t xml:space="preserve"> </w:t>
      </w:r>
      <w:r w:rsidRPr="002B36C4">
        <w:rPr>
          <w:rStyle w:val="BookTitle"/>
          <w:i w:val="0"/>
          <w:iCs w:val="0"/>
          <w:smallCaps w:val="0"/>
          <w:spacing w:val="0"/>
        </w:rPr>
        <w:t>m</w:t>
      </w:r>
      <w:r w:rsidR="002B36C4" w:rsidRPr="002B36C4">
        <w:rPr>
          <w:rStyle w:val="BookTitle"/>
          <w:i w:val="0"/>
          <w:iCs w:val="0"/>
          <w:smallCaps w:val="0"/>
          <w:spacing w:val="0"/>
        </w:rPr>
        <w:t>illion</w:t>
      </w:r>
      <w:r w:rsidRPr="002B36C4">
        <w:rPr>
          <w:rStyle w:val="BookTitle"/>
          <w:i w:val="0"/>
          <w:iCs w:val="0"/>
          <w:smallCaps w:val="0"/>
          <w:spacing w:val="0"/>
        </w:rPr>
        <w:t xml:space="preserve"> per annum for </w:t>
      </w:r>
      <w:r w:rsidR="002A55FA">
        <w:rPr>
          <w:rStyle w:val="BookTitle"/>
          <w:i w:val="0"/>
          <w:iCs w:val="0"/>
          <w:smallCaps w:val="0"/>
          <w:spacing w:val="0"/>
        </w:rPr>
        <w:t>supported employment</w:t>
      </w:r>
      <w:r w:rsidR="002B36C4" w:rsidRPr="002B36C4">
        <w:rPr>
          <w:rStyle w:val="BookTitle"/>
          <w:i w:val="0"/>
          <w:iCs w:val="0"/>
          <w:smallCaps w:val="0"/>
          <w:spacing w:val="0"/>
        </w:rPr>
        <w:t xml:space="preserve"> </w:t>
      </w:r>
      <w:r w:rsidR="00705B93">
        <w:rPr>
          <w:rStyle w:val="BookTitle"/>
          <w:i w:val="0"/>
          <w:iCs w:val="0"/>
          <w:smallCaps w:val="0"/>
          <w:spacing w:val="0"/>
        </w:rPr>
        <w:t xml:space="preserve">(approx. 20,000 supported employees) </w:t>
      </w:r>
      <w:r w:rsidR="002B36C4" w:rsidRPr="002B36C4">
        <w:rPr>
          <w:rStyle w:val="BookTitle"/>
          <w:i w:val="0"/>
          <w:iCs w:val="0"/>
          <w:smallCaps w:val="0"/>
          <w:spacing w:val="0"/>
        </w:rPr>
        <w:t>and $3</w:t>
      </w:r>
      <w:r w:rsidR="008E11C6">
        <w:rPr>
          <w:rStyle w:val="BookTitle"/>
          <w:i w:val="0"/>
          <w:iCs w:val="0"/>
          <w:smallCaps w:val="0"/>
          <w:spacing w:val="0"/>
        </w:rPr>
        <w:t>.4</w:t>
      </w:r>
      <w:r w:rsidR="002B36C4" w:rsidRPr="002B36C4">
        <w:rPr>
          <w:rStyle w:val="BookTitle"/>
          <w:i w:val="0"/>
          <w:iCs w:val="0"/>
          <w:smallCaps w:val="0"/>
          <w:spacing w:val="0"/>
        </w:rPr>
        <w:t xml:space="preserve"> billion over </w:t>
      </w:r>
      <w:r w:rsidR="00705B93">
        <w:rPr>
          <w:rStyle w:val="BookTitle"/>
          <w:i w:val="0"/>
          <w:iCs w:val="0"/>
          <w:smallCaps w:val="0"/>
          <w:spacing w:val="0"/>
        </w:rPr>
        <w:t>four</w:t>
      </w:r>
      <w:r w:rsidR="002B36C4" w:rsidRPr="002B36C4">
        <w:rPr>
          <w:rStyle w:val="BookTitle"/>
          <w:i w:val="0"/>
          <w:iCs w:val="0"/>
          <w:smallCaps w:val="0"/>
          <w:spacing w:val="0"/>
        </w:rPr>
        <w:t xml:space="preserve"> years for Disability Employment Services</w:t>
      </w:r>
      <w:r w:rsidR="002A55FA">
        <w:rPr>
          <w:rStyle w:val="BookTitle"/>
          <w:i w:val="0"/>
          <w:iCs w:val="0"/>
          <w:smallCaps w:val="0"/>
          <w:spacing w:val="0"/>
        </w:rPr>
        <w:t xml:space="preserve"> </w:t>
      </w:r>
      <w:r w:rsidR="00705B93">
        <w:rPr>
          <w:rStyle w:val="BookTitle"/>
          <w:i w:val="0"/>
          <w:iCs w:val="0"/>
          <w:smallCaps w:val="0"/>
          <w:spacing w:val="0"/>
        </w:rPr>
        <w:t xml:space="preserve">(approx. 150,000 employees per annum) </w:t>
      </w:r>
      <w:r w:rsidR="002A55FA">
        <w:rPr>
          <w:rStyle w:val="BookTitle"/>
          <w:i w:val="0"/>
          <w:iCs w:val="0"/>
          <w:smallCaps w:val="0"/>
          <w:spacing w:val="0"/>
        </w:rPr>
        <w:t>directed towards open employment options</w:t>
      </w:r>
      <w:r w:rsidR="002B36C4" w:rsidRPr="002B36C4">
        <w:rPr>
          <w:rStyle w:val="BookTitle"/>
          <w:i w:val="0"/>
          <w:iCs w:val="0"/>
          <w:smallCaps w:val="0"/>
          <w:spacing w:val="0"/>
        </w:rPr>
        <w:t xml:space="preserve">. </w:t>
      </w:r>
    </w:p>
    <w:p w:rsidR="00B57A31" w:rsidRPr="00F34FE7" w:rsidRDefault="00E8697D" w:rsidP="00684AA2">
      <w:pPr>
        <w:pStyle w:val="ListParagraph"/>
        <w:numPr>
          <w:ilvl w:val="0"/>
          <w:numId w:val="20"/>
        </w:numPr>
        <w:rPr>
          <w:rStyle w:val="BookTitle"/>
          <w:i w:val="0"/>
          <w:iCs w:val="0"/>
          <w:smallCaps w:val="0"/>
          <w:spacing w:val="0"/>
        </w:rPr>
      </w:pPr>
      <w:r w:rsidRPr="00F34FE7">
        <w:rPr>
          <w:rStyle w:val="BookTitle"/>
          <w:i w:val="0"/>
          <w:iCs w:val="0"/>
          <w:smallCaps w:val="0"/>
          <w:spacing w:val="0"/>
        </w:rPr>
        <w:lastRenderedPageBreak/>
        <w:t xml:space="preserve">The </w:t>
      </w:r>
      <w:r w:rsidR="00684AA2" w:rsidRPr="00F34FE7">
        <w:rPr>
          <w:rStyle w:val="BookTitle"/>
          <w:i w:val="0"/>
          <w:iCs w:val="0"/>
          <w:smallCaps w:val="0"/>
          <w:spacing w:val="0"/>
        </w:rPr>
        <w:t xml:space="preserve">Government </w:t>
      </w:r>
      <w:r w:rsidRPr="00F34FE7">
        <w:rPr>
          <w:rStyle w:val="BookTitle"/>
          <w:i w:val="0"/>
          <w:iCs w:val="0"/>
          <w:smallCaps w:val="0"/>
          <w:spacing w:val="0"/>
        </w:rPr>
        <w:t xml:space="preserve">is committed to </w:t>
      </w:r>
      <w:r w:rsidR="002A55FA">
        <w:rPr>
          <w:rStyle w:val="BookTitle"/>
          <w:i w:val="0"/>
          <w:iCs w:val="0"/>
          <w:smallCaps w:val="0"/>
          <w:spacing w:val="0"/>
        </w:rPr>
        <w:t>continuing to provide</w:t>
      </w:r>
      <w:r w:rsidRPr="00F34FE7">
        <w:rPr>
          <w:rStyle w:val="BookTitle"/>
          <w:i w:val="0"/>
          <w:iCs w:val="0"/>
          <w:smallCaps w:val="0"/>
          <w:spacing w:val="0"/>
        </w:rPr>
        <w:t xml:space="preserve"> supported employment options for people with disability. </w:t>
      </w:r>
      <w:r w:rsidR="00F435B9" w:rsidRPr="00F34FE7">
        <w:rPr>
          <w:rStyle w:val="BookTitle"/>
          <w:i w:val="0"/>
          <w:iCs w:val="0"/>
          <w:smallCaps w:val="0"/>
          <w:spacing w:val="0"/>
        </w:rPr>
        <w:t xml:space="preserve">Work is continuing on developing </w:t>
      </w:r>
      <w:r w:rsidR="00DD68E5" w:rsidRPr="00F34FE7">
        <w:rPr>
          <w:rStyle w:val="BookTitle"/>
          <w:i w:val="0"/>
          <w:iCs w:val="0"/>
          <w:smallCaps w:val="0"/>
          <w:spacing w:val="0"/>
        </w:rPr>
        <w:t xml:space="preserve">sector sustainability options. </w:t>
      </w:r>
    </w:p>
    <w:p w:rsidR="005B2A1D" w:rsidRPr="005333CE" w:rsidRDefault="002B36C4" w:rsidP="00BC5ED9">
      <w:pPr>
        <w:pStyle w:val="ListParagraph"/>
        <w:numPr>
          <w:ilvl w:val="0"/>
          <w:numId w:val="20"/>
        </w:numPr>
        <w:rPr>
          <w:rStyle w:val="BookTitle"/>
          <w:b/>
          <w:i w:val="0"/>
          <w:iCs w:val="0"/>
          <w:smallCaps w:val="0"/>
          <w:spacing w:val="0"/>
        </w:rPr>
      </w:pPr>
      <w:r>
        <w:rPr>
          <w:rStyle w:val="BookTitle"/>
          <w:i w:val="0"/>
          <w:iCs w:val="0"/>
          <w:smallCaps w:val="0"/>
          <w:spacing w:val="0"/>
        </w:rPr>
        <w:t>Any</w:t>
      </w:r>
      <w:r w:rsidR="00FD3A99" w:rsidRPr="00F34FE7">
        <w:rPr>
          <w:rStyle w:val="BookTitle"/>
          <w:i w:val="0"/>
          <w:iCs w:val="0"/>
          <w:smallCaps w:val="0"/>
          <w:spacing w:val="0"/>
        </w:rPr>
        <w:t xml:space="preserve"> additional support to ADEs </w:t>
      </w:r>
      <w:r w:rsidR="00310246" w:rsidRPr="00F34FE7">
        <w:rPr>
          <w:rStyle w:val="BookTitle"/>
          <w:i w:val="0"/>
          <w:iCs w:val="0"/>
          <w:smallCaps w:val="0"/>
          <w:spacing w:val="0"/>
        </w:rPr>
        <w:t>would</w:t>
      </w:r>
      <w:r w:rsidR="00FC5C44" w:rsidRPr="00F34FE7">
        <w:rPr>
          <w:rStyle w:val="BookTitle"/>
          <w:i w:val="0"/>
          <w:iCs w:val="0"/>
          <w:smallCaps w:val="0"/>
          <w:spacing w:val="0"/>
        </w:rPr>
        <w:t xml:space="preserve"> </w:t>
      </w:r>
      <w:r>
        <w:rPr>
          <w:rStyle w:val="BookTitle"/>
          <w:i w:val="0"/>
          <w:iCs w:val="0"/>
          <w:smallCaps w:val="0"/>
          <w:spacing w:val="0"/>
        </w:rPr>
        <w:t xml:space="preserve">need to be considered </w:t>
      </w:r>
      <w:r w:rsidR="00FC5C44" w:rsidRPr="00F34FE7">
        <w:rPr>
          <w:rStyle w:val="BookTitle"/>
          <w:i w:val="0"/>
          <w:iCs w:val="0"/>
          <w:smallCaps w:val="0"/>
          <w:spacing w:val="0"/>
        </w:rPr>
        <w:t>in the context of other Federal Budget considerations.</w:t>
      </w:r>
    </w:p>
    <w:p w:rsidR="005333CE" w:rsidRDefault="005333CE" w:rsidP="005333CE">
      <w:pPr>
        <w:pStyle w:val="ListParagraph"/>
        <w:ind w:left="426"/>
        <w:rPr>
          <w:rStyle w:val="BookTitle"/>
          <w:b/>
          <w:i w:val="0"/>
          <w:iCs w:val="0"/>
          <w:smallCaps w:val="0"/>
          <w:spacing w:val="0"/>
        </w:rPr>
      </w:pPr>
    </w:p>
    <w:p w:rsidR="008856B7" w:rsidRPr="00F34FE7" w:rsidRDefault="00A7697D"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Please provide full details of the ‘steps to move towards a new wage setting approach’ identified on page 4 of the exemption application, including proposed dates and timeframes?</w:t>
      </w:r>
      <w:r w:rsidR="00684AA2" w:rsidRPr="00F34FE7">
        <w:rPr>
          <w:rStyle w:val="BookTitle"/>
          <w:b/>
          <w:i w:val="0"/>
          <w:iCs w:val="0"/>
          <w:smallCaps w:val="0"/>
          <w:spacing w:val="0"/>
        </w:rPr>
        <w:t xml:space="preserve"> </w:t>
      </w:r>
    </w:p>
    <w:p w:rsidR="00A7697D" w:rsidRDefault="00A7697D"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steps have already been taken and what were the outcomes of those steps?</w:t>
      </w:r>
    </w:p>
    <w:p w:rsidR="004401FA" w:rsidRPr="00F34FE7" w:rsidRDefault="004401FA" w:rsidP="004401FA">
      <w:pPr>
        <w:pStyle w:val="ListParagraph"/>
        <w:ind w:left="426"/>
        <w:rPr>
          <w:rStyle w:val="BookTitle"/>
          <w:b/>
          <w:i w:val="0"/>
          <w:iCs w:val="0"/>
          <w:smallCaps w:val="0"/>
          <w:spacing w:val="0"/>
        </w:rPr>
      </w:pPr>
    </w:p>
    <w:p w:rsidR="00B06C2C" w:rsidRPr="00F34FE7" w:rsidRDefault="001D11D3" w:rsidP="0011791E">
      <w:pPr>
        <w:pStyle w:val="ListParagraph"/>
        <w:numPr>
          <w:ilvl w:val="0"/>
          <w:numId w:val="20"/>
        </w:numPr>
        <w:rPr>
          <w:rStyle w:val="BookTitle"/>
          <w:i w:val="0"/>
          <w:iCs w:val="0"/>
          <w:smallCaps w:val="0"/>
          <w:spacing w:val="0"/>
        </w:rPr>
      </w:pPr>
      <w:r w:rsidRPr="00F34FE7">
        <w:rPr>
          <w:rStyle w:val="BookTitle"/>
          <w:i w:val="0"/>
          <w:iCs w:val="0"/>
          <w:smallCaps w:val="0"/>
          <w:spacing w:val="0"/>
        </w:rPr>
        <w:t xml:space="preserve">The Department </w:t>
      </w:r>
      <w:r w:rsidR="00310246" w:rsidRPr="00F34FE7">
        <w:rPr>
          <w:rStyle w:val="BookTitle"/>
          <w:i w:val="0"/>
          <w:iCs w:val="0"/>
          <w:smallCaps w:val="0"/>
          <w:spacing w:val="0"/>
        </w:rPr>
        <w:t xml:space="preserve">has </w:t>
      </w:r>
      <w:r w:rsidR="004463D9" w:rsidRPr="00F34FE7">
        <w:rPr>
          <w:rStyle w:val="BookTitle"/>
          <w:i w:val="0"/>
          <w:iCs w:val="0"/>
          <w:smallCaps w:val="0"/>
          <w:spacing w:val="0"/>
        </w:rPr>
        <w:t>established a specific taskforce and an Inter-Departmental Committee to</w:t>
      </w:r>
      <w:r w:rsidRPr="00F34FE7">
        <w:rPr>
          <w:rStyle w:val="BookTitle"/>
          <w:i w:val="0"/>
          <w:iCs w:val="0"/>
          <w:smallCaps w:val="0"/>
          <w:spacing w:val="0"/>
        </w:rPr>
        <w:t xml:space="preserve"> progress the complex work involved in addressing the implications of the </w:t>
      </w:r>
      <w:r w:rsidR="00711AA5">
        <w:rPr>
          <w:rStyle w:val="BookTitle"/>
          <w:i w:val="0"/>
          <w:iCs w:val="0"/>
          <w:smallCaps w:val="0"/>
          <w:spacing w:val="0"/>
        </w:rPr>
        <w:t xml:space="preserve">Full </w:t>
      </w:r>
      <w:r w:rsidRPr="00F34FE7">
        <w:rPr>
          <w:rStyle w:val="BookTitle"/>
          <w:i w:val="0"/>
          <w:iCs w:val="0"/>
          <w:smallCaps w:val="0"/>
          <w:spacing w:val="0"/>
        </w:rPr>
        <w:t>Federal Court judgment</w:t>
      </w:r>
      <w:r w:rsidR="0011791E" w:rsidRPr="00F34FE7">
        <w:rPr>
          <w:rStyle w:val="BookTitle"/>
          <w:i w:val="0"/>
          <w:iCs w:val="0"/>
          <w:smallCaps w:val="0"/>
          <w:spacing w:val="0"/>
        </w:rPr>
        <w:t>:</w:t>
      </w:r>
      <w:r w:rsidRPr="00F34FE7">
        <w:rPr>
          <w:rStyle w:val="BookTitle"/>
          <w:i w:val="0"/>
          <w:iCs w:val="0"/>
          <w:smallCaps w:val="0"/>
          <w:spacing w:val="0"/>
        </w:rPr>
        <w:t xml:space="preserve"> </w:t>
      </w:r>
      <w:proofErr w:type="spellStart"/>
      <w:r w:rsidR="00711AA5">
        <w:rPr>
          <w:rStyle w:val="BookTitle"/>
          <w:iCs w:val="0"/>
          <w:smallCaps w:val="0"/>
          <w:spacing w:val="0"/>
        </w:rPr>
        <w:t>Nojin</w:t>
      </w:r>
      <w:proofErr w:type="spellEnd"/>
      <w:r w:rsidR="00711AA5">
        <w:rPr>
          <w:rStyle w:val="BookTitle"/>
          <w:iCs w:val="0"/>
          <w:smallCaps w:val="0"/>
          <w:spacing w:val="0"/>
        </w:rPr>
        <w:t xml:space="preserve"> &amp; P</w:t>
      </w:r>
      <w:r w:rsidRPr="00F34FE7">
        <w:rPr>
          <w:rStyle w:val="BookTitle"/>
          <w:iCs w:val="0"/>
          <w:smallCaps w:val="0"/>
          <w:spacing w:val="0"/>
        </w:rPr>
        <w:t xml:space="preserve">rior v Commonwealth </w:t>
      </w:r>
      <w:r w:rsidR="0011791E" w:rsidRPr="00F34FE7">
        <w:rPr>
          <w:rStyle w:val="BookTitle"/>
          <w:iCs w:val="0"/>
          <w:smallCaps w:val="0"/>
          <w:spacing w:val="0"/>
        </w:rPr>
        <w:t>[2012] FCAFC 192.</w:t>
      </w:r>
      <w:r w:rsidR="0011791E" w:rsidRPr="00F34FE7">
        <w:rPr>
          <w:rStyle w:val="BookTitle"/>
          <w:i w:val="0"/>
          <w:iCs w:val="0"/>
          <w:smallCaps w:val="0"/>
          <w:spacing w:val="0"/>
        </w:rPr>
        <w:t xml:space="preserve"> </w:t>
      </w:r>
    </w:p>
    <w:p w:rsidR="004463D9" w:rsidRPr="00F34FE7" w:rsidRDefault="004463D9" w:rsidP="0011791E">
      <w:pPr>
        <w:pStyle w:val="ListParagraph"/>
        <w:numPr>
          <w:ilvl w:val="0"/>
          <w:numId w:val="20"/>
        </w:numPr>
        <w:rPr>
          <w:rStyle w:val="BookTitle"/>
          <w:i w:val="0"/>
          <w:iCs w:val="0"/>
          <w:smallCaps w:val="0"/>
          <w:spacing w:val="0"/>
        </w:rPr>
      </w:pPr>
      <w:r w:rsidRPr="00F34FE7">
        <w:rPr>
          <w:rStyle w:val="BookTitle"/>
          <w:i w:val="0"/>
          <w:iCs w:val="0"/>
          <w:smallCaps w:val="0"/>
          <w:spacing w:val="0"/>
        </w:rPr>
        <w:t xml:space="preserve">The Department completed the first stage of an extensive consultation process prior to lodging </w:t>
      </w:r>
      <w:r w:rsidR="00310246" w:rsidRPr="00F34FE7">
        <w:rPr>
          <w:rStyle w:val="BookTitle"/>
          <w:i w:val="0"/>
          <w:iCs w:val="0"/>
          <w:smallCaps w:val="0"/>
          <w:spacing w:val="0"/>
        </w:rPr>
        <w:t>the</w:t>
      </w:r>
      <w:r w:rsidRPr="00F34FE7">
        <w:rPr>
          <w:rStyle w:val="BookTitle"/>
          <w:i w:val="0"/>
          <w:iCs w:val="0"/>
          <w:smallCaps w:val="0"/>
          <w:spacing w:val="0"/>
        </w:rPr>
        <w:t xml:space="preserve"> exemption application and established a phone line to provide </w:t>
      </w:r>
      <w:r w:rsidR="00705B93">
        <w:rPr>
          <w:rStyle w:val="BookTitle"/>
          <w:i w:val="0"/>
          <w:iCs w:val="0"/>
          <w:smallCaps w:val="0"/>
          <w:spacing w:val="0"/>
        </w:rPr>
        <w:t>information</w:t>
      </w:r>
      <w:r w:rsidRPr="00F34FE7">
        <w:rPr>
          <w:rStyle w:val="BookTitle"/>
          <w:i w:val="0"/>
          <w:iCs w:val="0"/>
          <w:smallCaps w:val="0"/>
          <w:spacing w:val="0"/>
        </w:rPr>
        <w:t xml:space="preserve"> for supported employees. </w:t>
      </w:r>
    </w:p>
    <w:p w:rsidR="0011791E" w:rsidRPr="00F34FE7" w:rsidRDefault="0053619D" w:rsidP="0011791E">
      <w:pPr>
        <w:pStyle w:val="ListParagraph"/>
        <w:numPr>
          <w:ilvl w:val="0"/>
          <w:numId w:val="20"/>
        </w:numPr>
        <w:rPr>
          <w:rStyle w:val="BookTitle"/>
          <w:i w:val="0"/>
          <w:iCs w:val="0"/>
          <w:smallCaps w:val="0"/>
          <w:spacing w:val="0"/>
        </w:rPr>
      </w:pPr>
      <w:r>
        <w:rPr>
          <w:rStyle w:val="BookTitle"/>
          <w:i w:val="0"/>
          <w:iCs w:val="0"/>
          <w:smallCaps w:val="0"/>
          <w:spacing w:val="0"/>
        </w:rPr>
        <w:t>On 15 January 2014, t</w:t>
      </w:r>
      <w:r w:rsidR="0011791E" w:rsidRPr="00F34FE7">
        <w:rPr>
          <w:rStyle w:val="BookTitle"/>
          <w:i w:val="0"/>
          <w:iCs w:val="0"/>
          <w:smallCaps w:val="0"/>
          <w:spacing w:val="0"/>
        </w:rPr>
        <w:t>he Government announced a new scheme, the BSWAT Payments Scheme, to provide an additional payment in certain circumstances to former and current eligible employees with an intellectual disability whose wages were assessed and paid using the BSWAT. Work is currently being done on the detailed payment design. The scheme will commence from 1 July 2014.</w:t>
      </w:r>
    </w:p>
    <w:p w:rsidR="00C46200" w:rsidRPr="00F34FE7" w:rsidRDefault="00C46200" w:rsidP="0011791E">
      <w:pPr>
        <w:pStyle w:val="ListParagraph"/>
        <w:numPr>
          <w:ilvl w:val="0"/>
          <w:numId w:val="20"/>
        </w:numPr>
        <w:rPr>
          <w:rStyle w:val="BookTitle"/>
          <w:i w:val="0"/>
          <w:iCs w:val="0"/>
          <w:smallCaps w:val="0"/>
          <w:spacing w:val="0"/>
        </w:rPr>
      </w:pPr>
      <w:r w:rsidRPr="00F34FE7">
        <w:rPr>
          <w:rStyle w:val="BookTitle"/>
          <w:i w:val="0"/>
          <w:iCs w:val="0"/>
          <w:smallCaps w:val="0"/>
          <w:spacing w:val="0"/>
        </w:rPr>
        <w:t xml:space="preserve">The Department is focused on fast tracking </w:t>
      </w:r>
      <w:r w:rsidR="004401FA">
        <w:rPr>
          <w:rStyle w:val="BookTitle"/>
          <w:i w:val="0"/>
          <w:iCs w:val="0"/>
          <w:smallCaps w:val="0"/>
          <w:spacing w:val="0"/>
        </w:rPr>
        <w:t>ADE sector sustainability strategies which support the viability of ADEs and their capacity to pay higher wages to supported employees.</w:t>
      </w:r>
    </w:p>
    <w:p w:rsidR="000608E3" w:rsidRPr="00F34FE7" w:rsidRDefault="0011791E" w:rsidP="000608E3">
      <w:pPr>
        <w:pStyle w:val="ListParagraph"/>
        <w:numPr>
          <w:ilvl w:val="0"/>
          <w:numId w:val="20"/>
        </w:numPr>
        <w:rPr>
          <w:rStyle w:val="BookTitle"/>
          <w:i w:val="0"/>
          <w:iCs w:val="0"/>
          <w:smallCaps w:val="0"/>
          <w:spacing w:val="0"/>
        </w:rPr>
      </w:pPr>
      <w:r w:rsidRPr="00F34FE7">
        <w:rPr>
          <w:rStyle w:val="BookTitle"/>
          <w:i w:val="0"/>
          <w:iCs w:val="0"/>
          <w:smallCaps w:val="0"/>
          <w:spacing w:val="0"/>
        </w:rPr>
        <w:t>Once the outcome of the Department’</w:t>
      </w:r>
      <w:r w:rsidR="00380CA7" w:rsidRPr="00F34FE7">
        <w:rPr>
          <w:rStyle w:val="BookTitle"/>
          <w:i w:val="0"/>
          <w:iCs w:val="0"/>
          <w:smallCaps w:val="0"/>
          <w:spacing w:val="0"/>
        </w:rPr>
        <w:t>s a</w:t>
      </w:r>
      <w:r w:rsidRPr="00F34FE7">
        <w:rPr>
          <w:rStyle w:val="BookTitle"/>
          <w:i w:val="0"/>
          <w:iCs w:val="0"/>
          <w:smallCaps w:val="0"/>
          <w:spacing w:val="0"/>
        </w:rPr>
        <w:t xml:space="preserve">pplication for </w:t>
      </w:r>
      <w:r w:rsidR="00B94A54" w:rsidRPr="00F34FE7">
        <w:rPr>
          <w:rStyle w:val="BookTitle"/>
          <w:i w:val="0"/>
          <w:iCs w:val="0"/>
          <w:smallCaps w:val="0"/>
          <w:spacing w:val="0"/>
        </w:rPr>
        <w:t xml:space="preserve">a </w:t>
      </w:r>
      <w:r w:rsidRPr="00F34FE7">
        <w:rPr>
          <w:rStyle w:val="BookTitle"/>
          <w:i w:val="0"/>
          <w:iCs w:val="0"/>
          <w:smallCaps w:val="0"/>
          <w:spacing w:val="0"/>
        </w:rPr>
        <w:t xml:space="preserve">temporary exemption is </w:t>
      </w:r>
      <w:r w:rsidR="00C46200" w:rsidRPr="00F34FE7">
        <w:rPr>
          <w:rStyle w:val="BookTitle"/>
          <w:i w:val="0"/>
          <w:iCs w:val="0"/>
          <w:smallCaps w:val="0"/>
          <w:spacing w:val="0"/>
        </w:rPr>
        <w:t xml:space="preserve">made available by the </w:t>
      </w:r>
      <w:r w:rsidR="004463D9" w:rsidRPr="00F34FE7">
        <w:rPr>
          <w:rStyle w:val="BookTitle"/>
          <w:i w:val="0"/>
          <w:iCs w:val="0"/>
          <w:smallCaps w:val="0"/>
          <w:spacing w:val="0"/>
        </w:rPr>
        <w:t>AHRC</w:t>
      </w:r>
      <w:r w:rsidR="002976FC" w:rsidRPr="00F34FE7">
        <w:rPr>
          <w:rStyle w:val="BookTitle"/>
          <w:i w:val="0"/>
          <w:iCs w:val="0"/>
          <w:smallCaps w:val="0"/>
          <w:spacing w:val="0"/>
        </w:rPr>
        <w:t xml:space="preserve">, </w:t>
      </w:r>
      <w:r w:rsidR="000608E3" w:rsidRPr="00F34FE7">
        <w:rPr>
          <w:rStyle w:val="BookTitle"/>
          <w:i w:val="0"/>
          <w:iCs w:val="0"/>
          <w:smallCaps w:val="0"/>
          <w:spacing w:val="0"/>
        </w:rPr>
        <w:t>the Department will be in a position to finalise the</w:t>
      </w:r>
      <w:r w:rsidR="00B94A54" w:rsidRPr="00F34FE7">
        <w:rPr>
          <w:rStyle w:val="BookTitle"/>
          <w:i w:val="0"/>
          <w:iCs w:val="0"/>
          <w:smallCaps w:val="0"/>
          <w:spacing w:val="0"/>
        </w:rPr>
        <w:t xml:space="preserve"> Action Plan </w:t>
      </w:r>
      <w:r w:rsidR="000F1477" w:rsidRPr="00F34FE7">
        <w:rPr>
          <w:rStyle w:val="BookTitle"/>
          <w:i w:val="0"/>
          <w:iCs w:val="0"/>
          <w:smallCaps w:val="0"/>
          <w:spacing w:val="0"/>
        </w:rPr>
        <w:t xml:space="preserve">for </w:t>
      </w:r>
      <w:r w:rsidR="00380CA7" w:rsidRPr="00F34FE7">
        <w:rPr>
          <w:rStyle w:val="BookTitle"/>
          <w:i w:val="0"/>
          <w:iCs w:val="0"/>
          <w:smallCaps w:val="0"/>
          <w:spacing w:val="0"/>
        </w:rPr>
        <w:t>transitioning to</w:t>
      </w:r>
      <w:r w:rsidR="007C3494" w:rsidRPr="00F34FE7">
        <w:rPr>
          <w:rStyle w:val="BookTitle"/>
          <w:i w:val="0"/>
          <w:iCs w:val="0"/>
          <w:smallCaps w:val="0"/>
          <w:spacing w:val="0"/>
        </w:rPr>
        <w:t xml:space="preserve"> a new wage assessment process</w:t>
      </w:r>
      <w:r w:rsidR="000608E3" w:rsidRPr="00F34FE7">
        <w:rPr>
          <w:rStyle w:val="BookTitle"/>
          <w:i w:val="0"/>
          <w:iCs w:val="0"/>
          <w:smallCaps w:val="0"/>
          <w:spacing w:val="0"/>
        </w:rPr>
        <w:t xml:space="preserve">. In particular: </w:t>
      </w:r>
    </w:p>
    <w:p w:rsidR="004463D9" w:rsidRPr="00F34FE7" w:rsidRDefault="000608E3" w:rsidP="00822618">
      <w:pPr>
        <w:pStyle w:val="ListParagraph"/>
        <w:numPr>
          <w:ilvl w:val="1"/>
          <w:numId w:val="15"/>
        </w:numPr>
        <w:rPr>
          <w:rStyle w:val="BookTitle"/>
          <w:i w:val="0"/>
          <w:iCs w:val="0"/>
          <w:smallCaps w:val="0"/>
          <w:spacing w:val="0"/>
        </w:rPr>
      </w:pPr>
      <w:r w:rsidRPr="00F34FE7">
        <w:rPr>
          <w:rStyle w:val="BookTitle"/>
          <w:i w:val="0"/>
          <w:iCs w:val="0"/>
          <w:smallCaps w:val="0"/>
          <w:spacing w:val="0"/>
        </w:rPr>
        <w:t xml:space="preserve">it will be clear whether or not there is a need for </w:t>
      </w:r>
      <w:r w:rsidR="00EA1813">
        <w:rPr>
          <w:rStyle w:val="BookTitle"/>
          <w:i w:val="0"/>
          <w:iCs w:val="0"/>
          <w:smallCaps w:val="0"/>
          <w:spacing w:val="0"/>
        </w:rPr>
        <w:t>a crisis response or an orderly transition</w:t>
      </w:r>
      <w:r w:rsidRPr="00F34FE7">
        <w:rPr>
          <w:rStyle w:val="BookTitle"/>
          <w:i w:val="0"/>
          <w:iCs w:val="0"/>
          <w:smallCaps w:val="0"/>
          <w:spacing w:val="0"/>
        </w:rPr>
        <w:t>;</w:t>
      </w:r>
      <w:r w:rsidR="004E6A92" w:rsidRPr="00F34FE7">
        <w:rPr>
          <w:rStyle w:val="BookTitle"/>
          <w:i w:val="0"/>
          <w:iCs w:val="0"/>
          <w:smallCaps w:val="0"/>
          <w:spacing w:val="0"/>
        </w:rPr>
        <w:t xml:space="preserve"> </w:t>
      </w:r>
      <w:r w:rsidR="00C46200" w:rsidRPr="00F34FE7">
        <w:rPr>
          <w:rStyle w:val="BookTitle"/>
          <w:i w:val="0"/>
          <w:iCs w:val="0"/>
          <w:smallCaps w:val="0"/>
          <w:spacing w:val="0"/>
        </w:rPr>
        <w:t xml:space="preserve">and </w:t>
      </w:r>
    </w:p>
    <w:p w:rsidR="0011791E" w:rsidRPr="00F34FE7" w:rsidRDefault="000608E3" w:rsidP="00822618">
      <w:pPr>
        <w:pStyle w:val="ListParagraph"/>
        <w:numPr>
          <w:ilvl w:val="1"/>
          <w:numId w:val="15"/>
        </w:numPr>
        <w:rPr>
          <w:rStyle w:val="BookTitle"/>
          <w:i w:val="0"/>
          <w:iCs w:val="0"/>
          <w:smallCaps w:val="0"/>
          <w:spacing w:val="0"/>
        </w:rPr>
      </w:pPr>
      <w:proofErr w:type="gramStart"/>
      <w:r w:rsidRPr="00F34FE7">
        <w:rPr>
          <w:rStyle w:val="BookTitle"/>
          <w:i w:val="0"/>
          <w:iCs w:val="0"/>
          <w:smallCaps w:val="0"/>
          <w:spacing w:val="0"/>
        </w:rPr>
        <w:t>it</w:t>
      </w:r>
      <w:proofErr w:type="gramEnd"/>
      <w:r w:rsidRPr="00F34FE7">
        <w:rPr>
          <w:rStyle w:val="BookTitle"/>
          <w:i w:val="0"/>
          <w:iCs w:val="0"/>
          <w:smallCaps w:val="0"/>
          <w:spacing w:val="0"/>
        </w:rPr>
        <w:t xml:space="preserve"> will be possible to commence further</w:t>
      </w:r>
      <w:r w:rsidR="00C46200" w:rsidRPr="00F34FE7">
        <w:rPr>
          <w:rStyle w:val="BookTitle"/>
          <w:i w:val="0"/>
          <w:iCs w:val="0"/>
          <w:smallCaps w:val="0"/>
          <w:spacing w:val="0"/>
        </w:rPr>
        <w:t xml:space="preserve"> consultations with </w:t>
      </w:r>
      <w:r w:rsidR="000F1477" w:rsidRPr="00F34FE7">
        <w:rPr>
          <w:rStyle w:val="BookTitle"/>
          <w:i w:val="0"/>
          <w:iCs w:val="0"/>
          <w:smallCaps w:val="0"/>
          <w:spacing w:val="0"/>
        </w:rPr>
        <w:t>people with disability, their families and carers, providers, representativ</w:t>
      </w:r>
      <w:r w:rsidR="00EA1813">
        <w:rPr>
          <w:rStyle w:val="BookTitle"/>
          <w:i w:val="0"/>
          <w:iCs w:val="0"/>
          <w:smallCaps w:val="0"/>
          <w:spacing w:val="0"/>
        </w:rPr>
        <w:t>es, peaks and other stakeholders</w:t>
      </w:r>
      <w:r w:rsidR="007C3494" w:rsidRPr="00F34FE7">
        <w:rPr>
          <w:rStyle w:val="BookTitle"/>
          <w:i w:val="0"/>
          <w:iCs w:val="0"/>
          <w:smallCaps w:val="0"/>
          <w:spacing w:val="0"/>
        </w:rPr>
        <w:t>.</w:t>
      </w:r>
    </w:p>
    <w:p w:rsidR="00B06C2C" w:rsidRPr="00F34FE7" w:rsidRDefault="00B06C2C" w:rsidP="002101FC">
      <w:pPr>
        <w:pStyle w:val="ListParagraph"/>
        <w:ind w:left="426"/>
        <w:rPr>
          <w:rStyle w:val="BookTitle"/>
          <w:b/>
          <w:i w:val="0"/>
          <w:iCs w:val="0"/>
          <w:smallCaps w:val="0"/>
          <w:spacing w:val="0"/>
        </w:rPr>
      </w:pPr>
    </w:p>
    <w:p w:rsidR="00A7697D" w:rsidRPr="00F34FE7" w:rsidRDefault="008856B7"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I</w:t>
      </w:r>
      <w:r w:rsidR="00A7697D" w:rsidRPr="00F34FE7">
        <w:rPr>
          <w:rStyle w:val="BookTitle"/>
          <w:b/>
          <w:i w:val="0"/>
          <w:iCs w:val="0"/>
          <w:smallCaps w:val="0"/>
          <w:spacing w:val="0"/>
        </w:rPr>
        <w:t>f the exemption were granted, what steps would be taken to ameliorate the discriminatory effects on employees?</w:t>
      </w:r>
    </w:p>
    <w:p w:rsidR="002A55FA" w:rsidRDefault="002A55FA" w:rsidP="002A55FA">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Provide any comments in response to the submissions referring to the concluding observations of the CRPD Committee relating to the BSWAT on the initial report of Australia, adopted at its tenth session (2-13 September 2013).</w:t>
      </w:r>
    </w:p>
    <w:p w:rsidR="00716847" w:rsidRPr="00F34FE7" w:rsidRDefault="00716847" w:rsidP="0071684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Provide submissions as to the reasonableness of the exemption, given the discrimination that will occur if the use of the BSWAT is continued.</w:t>
      </w:r>
    </w:p>
    <w:p w:rsidR="00716847" w:rsidRDefault="00716847" w:rsidP="00BC5ED9">
      <w:pPr>
        <w:pStyle w:val="ListParagraph"/>
        <w:ind w:left="426"/>
        <w:rPr>
          <w:rStyle w:val="BookTitle"/>
          <w:b/>
          <w:i w:val="0"/>
          <w:iCs w:val="0"/>
          <w:smallCaps w:val="0"/>
          <w:spacing w:val="0"/>
        </w:rPr>
      </w:pPr>
    </w:p>
    <w:p w:rsidR="00716847" w:rsidRPr="00BC5ED9" w:rsidRDefault="00716847" w:rsidP="00BC5ED9">
      <w:pPr>
        <w:pStyle w:val="ListParagraph"/>
        <w:numPr>
          <w:ilvl w:val="0"/>
          <w:numId w:val="15"/>
        </w:numPr>
        <w:rPr>
          <w:rStyle w:val="BookTitle"/>
          <w:i w:val="0"/>
          <w:iCs w:val="0"/>
          <w:smallCaps w:val="0"/>
          <w:spacing w:val="0"/>
        </w:rPr>
      </w:pPr>
      <w:r w:rsidRPr="00BC5ED9">
        <w:rPr>
          <w:rStyle w:val="BookTitle"/>
          <w:i w:val="0"/>
          <w:iCs w:val="0"/>
          <w:smallCaps w:val="0"/>
          <w:spacing w:val="0"/>
        </w:rPr>
        <w:t>The Co</w:t>
      </w:r>
      <w:r>
        <w:rPr>
          <w:rStyle w:val="BookTitle"/>
          <w:i w:val="0"/>
          <w:iCs w:val="0"/>
          <w:smallCaps w:val="0"/>
          <w:spacing w:val="0"/>
        </w:rPr>
        <w:t xml:space="preserve">mmonwealth does not accept the use of the BSWAR is discriminatory </w:t>
      </w:r>
      <w:r w:rsidRPr="00BC5ED9">
        <w:rPr>
          <w:rStyle w:val="BookTitle"/>
          <w:iCs w:val="0"/>
          <w:smallCaps w:val="0"/>
          <w:spacing w:val="0"/>
        </w:rPr>
        <w:t>per se</w:t>
      </w:r>
      <w:r>
        <w:rPr>
          <w:rStyle w:val="BookTitle"/>
          <w:iCs w:val="0"/>
          <w:smallCaps w:val="0"/>
          <w:spacing w:val="0"/>
        </w:rPr>
        <w:t xml:space="preserve">. </w:t>
      </w:r>
      <w:r>
        <w:rPr>
          <w:rStyle w:val="BookTitle"/>
          <w:i w:val="0"/>
          <w:iCs w:val="0"/>
          <w:smallCaps w:val="0"/>
          <w:spacing w:val="0"/>
        </w:rPr>
        <w:t xml:space="preserve">In </w:t>
      </w:r>
      <w:proofErr w:type="spellStart"/>
      <w:r>
        <w:rPr>
          <w:rStyle w:val="BookTitle"/>
          <w:i w:val="0"/>
          <w:iCs w:val="0"/>
          <w:smallCaps w:val="0"/>
          <w:spacing w:val="0"/>
        </w:rPr>
        <w:t>Nojin</w:t>
      </w:r>
      <w:proofErr w:type="spellEnd"/>
      <w:r>
        <w:rPr>
          <w:rStyle w:val="BookTitle"/>
          <w:i w:val="0"/>
          <w:iCs w:val="0"/>
          <w:smallCaps w:val="0"/>
          <w:spacing w:val="0"/>
        </w:rPr>
        <w:t xml:space="preserve">, a majority of the Full </w:t>
      </w:r>
      <w:r w:rsidR="002B3C50">
        <w:rPr>
          <w:rStyle w:val="BookTitle"/>
          <w:i w:val="0"/>
          <w:iCs w:val="0"/>
          <w:smallCaps w:val="0"/>
          <w:spacing w:val="0"/>
        </w:rPr>
        <w:t>F</w:t>
      </w:r>
      <w:r>
        <w:rPr>
          <w:rStyle w:val="BookTitle"/>
          <w:i w:val="0"/>
          <w:iCs w:val="0"/>
          <w:smallCaps w:val="0"/>
          <w:spacing w:val="0"/>
        </w:rPr>
        <w:t xml:space="preserve">ederal Court found that the use of the BSWAT to assess the wages of Messrs </w:t>
      </w:r>
      <w:proofErr w:type="spellStart"/>
      <w:r>
        <w:rPr>
          <w:rStyle w:val="BookTitle"/>
          <w:i w:val="0"/>
          <w:iCs w:val="0"/>
          <w:smallCaps w:val="0"/>
          <w:spacing w:val="0"/>
        </w:rPr>
        <w:t>Nojin</w:t>
      </w:r>
      <w:proofErr w:type="spellEnd"/>
      <w:r>
        <w:rPr>
          <w:rStyle w:val="BookTitle"/>
          <w:i w:val="0"/>
          <w:iCs w:val="0"/>
          <w:smallCaps w:val="0"/>
          <w:spacing w:val="0"/>
        </w:rPr>
        <w:t xml:space="preserve"> and Prior was discriminatory in the particular circumstances relevant to Messrs </w:t>
      </w:r>
      <w:proofErr w:type="spellStart"/>
      <w:r>
        <w:rPr>
          <w:rStyle w:val="BookTitle"/>
          <w:i w:val="0"/>
          <w:iCs w:val="0"/>
          <w:smallCaps w:val="0"/>
          <w:spacing w:val="0"/>
        </w:rPr>
        <w:t>Nojin</w:t>
      </w:r>
      <w:proofErr w:type="spellEnd"/>
      <w:r>
        <w:rPr>
          <w:rStyle w:val="BookTitle"/>
          <w:i w:val="0"/>
          <w:iCs w:val="0"/>
          <w:smallCaps w:val="0"/>
          <w:spacing w:val="0"/>
        </w:rPr>
        <w:t xml:space="preserve"> and Prior. Whether an assessment under the BSWAT complies with the requirements of the DDA or amounts to unlawful </w:t>
      </w:r>
      <w:r>
        <w:rPr>
          <w:rStyle w:val="BookTitle"/>
          <w:i w:val="0"/>
          <w:iCs w:val="0"/>
          <w:smallCaps w:val="0"/>
          <w:spacing w:val="0"/>
        </w:rPr>
        <w:lastRenderedPageBreak/>
        <w:t xml:space="preserve">discrimination will depend on the </w:t>
      </w:r>
      <w:r w:rsidRPr="00BC5ED9">
        <w:rPr>
          <w:rStyle w:val="BookTitle"/>
          <w:iCs w:val="0"/>
          <w:smallCaps w:val="0"/>
          <w:spacing w:val="0"/>
        </w:rPr>
        <w:t>particular circumstances of the case</w:t>
      </w:r>
      <w:r>
        <w:rPr>
          <w:rStyle w:val="BookTitle"/>
          <w:i w:val="0"/>
          <w:iCs w:val="0"/>
          <w:smallCaps w:val="0"/>
          <w:spacing w:val="0"/>
        </w:rPr>
        <w:t xml:space="preserve">. As noted above, and in the exemption application, there are circumstances where the use of the BSWAT will or may not constitute unlawful discrimination. </w:t>
      </w:r>
    </w:p>
    <w:p w:rsidR="00716847" w:rsidRPr="002A55FA" w:rsidRDefault="00716847" w:rsidP="00716847">
      <w:pPr>
        <w:pStyle w:val="ListParagraph"/>
        <w:numPr>
          <w:ilvl w:val="0"/>
          <w:numId w:val="26"/>
        </w:numPr>
        <w:rPr>
          <w:rStyle w:val="BookTitle"/>
          <w:i w:val="0"/>
          <w:iCs w:val="0"/>
          <w:smallCaps w:val="0"/>
          <w:spacing w:val="0"/>
        </w:rPr>
      </w:pPr>
      <w:r>
        <w:rPr>
          <w:rStyle w:val="BookTitle"/>
          <w:i w:val="0"/>
          <w:iCs w:val="0"/>
          <w:smallCaps w:val="0"/>
          <w:spacing w:val="0"/>
        </w:rPr>
        <w:t>Notwithstanding this, t</w:t>
      </w:r>
      <w:r w:rsidR="002A55FA" w:rsidRPr="00F34FE7">
        <w:rPr>
          <w:rStyle w:val="BookTitle"/>
          <w:i w:val="0"/>
          <w:iCs w:val="0"/>
          <w:smallCaps w:val="0"/>
          <w:spacing w:val="0"/>
        </w:rPr>
        <w:t xml:space="preserve">here is extensive work to be done in establishing a new wage assessment process. This work is a priority for the Department. </w:t>
      </w:r>
      <w:r w:rsidRPr="002A55FA">
        <w:rPr>
          <w:rStyle w:val="BookTitle"/>
          <w:i w:val="0"/>
          <w:iCs w:val="0"/>
          <w:smallCaps w:val="0"/>
          <w:spacing w:val="0"/>
        </w:rPr>
        <w:t>A new wage assessment process which meets the requirements of the DDA will be implemented as quickly as possible, within the exemption period of three years or less. It should be noted that some people with disability will start moving to the new wage assessment process earlier than the three years identified, that is, as soon as the new process is identified.</w:t>
      </w:r>
    </w:p>
    <w:p w:rsidR="008E11C6" w:rsidRDefault="00EA1813" w:rsidP="00804CA1">
      <w:pPr>
        <w:pStyle w:val="ListParagraph"/>
        <w:numPr>
          <w:ilvl w:val="0"/>
          <w:numId w:val="7"/>
        </w:numPr>
        <w:rPr>
          <w:rStyle w:val="BookTitle"/>
          <w:i w:val="0"/>
          <w:iCs w:val="0"/>
          <w:smallCaps w:val="0"/>
          <w:spacing w:val="0"/>
        </w:rPr>
      </w:pPr>
      <w:r w:rsidRPr="008E11C6">
        <w:rPr>
          <w:rStyle w:val="BookTitle"/>
          <w:i w:val="0"/>
          <w:iCs w:val="0"/>
          <w:smallCaps w:val="0"/>
          <w:spacing w:val="0"/>
        </w:rPr>
        <w:t>The exemption would form an important component</w:t>
      </w:r>
      <w:r w:rsidR="009637AE">
        <w:rPr>
          <w:rStyle w:val="BookTitle"/>
          <w:i w:val="0"/>
          <w:iCs w:val="0"/>
          <w:smallCaps w:val="0"/>
          <w:spacing w:val="0"/>
        </w:rPr>
        <w:t xml:space="preserve">, but only one part of, </w:t>
      </w:r>
      <w:r w:rsidRPr="008E11C6">
        <w:rPr>
          <w:rStyle w:val="BookTitle"/>
          <w:i w:val="0"/>
          <w:iCs w:val="0"/>
          <w:smallCaps w:val="0"/>
          <w:spacing w:val="0"/>
        </w:rPr>
        <w:t xml:space="preserve">resolving </w:t>
      </w:r>
      <w:r w:rsidR="002A55FA">
        <w:rPr>
          <w:rStyle w:val="BookTitle"/>
          <w:i w:val="0"/>
          <w:iCs w:val="0"/>
          <w:smallCaps w:val="0"/>
          <w:spacing w:val="0"/>
        </w:rPr>
        <w:t xml:space="preserve">the current </w:t>
      </w:r>
      <w:r w:rsidRPr="008E11C6">
        <w:rPr>
          <w:rStyle w:val="BookTitle"/>
          <w:i w:val="0"/>
          <w:iCs w:val="0"/>
          <w:smallCaps w:val="0"/>
          <w:spacing w:val="0"/>
        </w:rPr>
        <w:t>issues and</w:t>
      </w:r>
      <w:r w:rsidR="008E11C6" w:rsidRPr="008E11C6">
        <w:rPr>
          <w:rStyle w:val="BookTitle"/>
          <w:i w:val="0"/>
          <w:iCs w:val="0"/>
          <w:smallCaps w:val="0"/>
          <w:spacing w:val="0"/>
        </w:rPr>
        <w:t xml:space="preserve"> improving </w:t>
      </w:r>
      <w:r w:rsidRPr="008E11C6">
        <w:rPr>
          <w:rStyle w:val="BookTitle"/>
          <w:i w:val="0"/>
          <w:iCs w:val="0"/>
          <w:smallCaps w:val="0"/>
          <w:spacing w:val="0"/>
        </w:rPr>
        <w:t>employment o</w:t>
      </w:r>
      <w:r w:rsidR="008E11C6">
        <w:rPr>
          <w:rStyle w:val="BookTitle"/>
          <w:i w:val="0"/>
          <w:iCs w:val="0"/>
          <w:smallCaps w:val="0"/>
          <w:spacing w:val="0"/>
        </w:rPr>
        <w:t>utcomes for supported employees:</w:t>
      </w:r>
      <w:r w:rsidR="008E11C6" w:rsidRPr="008E11C6">
        <w:rPr>
          <w:rStyle w:val="BookTitle"/>
          <w:i w:val="0"/>
          <w:iCs w:val="0"/>
          <w:smallCaps w:val="0"/>
          <w:spacing w:val="0"/>
        </w:rPr>
        <w:t xml:space="preserve"> </w:t>
      </w:r>
    </w:p>
    <w:p w:rsidR="004E6A92" w:rsidRPr="008E11C6" w:rsidRDefault="008E11C6" w:rsidP="002A55FA">
      <w:pPr>
        <w:pStyle w:val="ListParagraph"/>
        <w:numPr>
          <w:ilvl w:val="1"/>
          <w:numId w:val="15"/>
        </w:numPr>
        <w:rPr>
          <w:rStyle w:val="BookTitle"/>
          <w:i w:val="0"/>
          <w:iCs w:val="0"/>
          <w:smallCaps w:val="0"/>
          <w:spacing w:val="0"/>
        </w:rPr>
      </w:pPr>
      <w:r>
        <w:rPr>
          <w:rStyle w:val="BookTitle"/>
          <w:i w:val="0"/>
          <w:iCs w:val="0"/>
          <w:smallCaps w:val="0"/>
          <w:spacing w:val="0"/>
        </w:rPr>
        <w:t>it</w:t>
      </w:r>
      <w:r w:rsidR="00733F53" w:rsidRPr="008E11C6">
        <w:rPr>
          <w:rStyle w:val="BookTitle"/>
          <w:i w:val="0"/>
          <w:iCs w:val="0"/>
          <w:smallCaps w:val="0"/>
          <w:spacing w:val="0"/>
        </w:rPr>
        <w:t xml:space="preserve"> will ensure ongoing </w:t>
      </w:r>
      <w:r w:rsidR="004E6A92" w:rsidRPr="008E11C6">
        <w:rPr>
          <w:rStyle w:val="BookTitle"/>
          <w:i w:val="0"/>
          <w:iCs w:val="0"/>
          <w:smallCaps w:val="0"/>
          <w:spacing w:val="0"/>
        </w:rPr>
        <w:t xml:space="preserve">and stable </w:t>
      </w:r>
      <w:r w:rsidR="00733F53" w:rsidRPr="008E11C6">
        <w:rPr>
          <w:rStyle w:val="BookTitle"/>
          <w:i w:val="0"/>
          <w:iCs w:val="0"/>
          <w:smallCaps w:val="0"/>
          <w:spacing w:val="0"/>
        </w:rPr>
        <w:t>employment for supported employees</w:t>
      </w:r>
      <w:r w:rsidR="004E6A92" w:rsidRPr="008E11C6">
        <w:rPr>
          <w:rStyle w:val="BookTitle"/>
          <w:i w:val="0"/>
          <w:iCs w:val="0"/>
          <w:smallCaps w:val="0"/>
          <w:spacing w:val="0"/>
        </w:rPr>
        <w:t>, particularly those employees with higher support needs who have extremely limited alternative employment options</w:t>
      </w:r>
      <w:r w:rsidR="009637AE">
        <w:rPr>
          <w:rStyle w:val="BookTitle"/>
          <w:i w:val="0"/>
          <w:iCs w:val="0"/>
          <w:smallCaps w:val="0"/>
          <w:spacing w:val="0"/>
        </w:rPr>
        <w:t>;</w:t>
      </w:r>
      <w:r w:rsidR="00733F53" w:rsidRPr="008E11C6">
        <w:rPr>
          <w:rStyle w:val="BookTitle"/>
          <w:i w:val="0"/>
          <w:iCs w:val="0"/>
          <w:smallCaps w:val="0"/>
          <w:spacing w:val="0"/>
        </w:rPr>
        <w:t xml:space="preserve">  </w:t>
      </w:r>
    </w:p>
    <w:p w:rsidR="00310246" w:rsidRPr="00F34FE7" w:rsidRDefault="008E11C6" w:rsidP="002A55FA">
      <w:pPr>
        <w:pStyle w:val="ListParagraph"/>
        <w:numPr>
          <w:ilvl w:val="1"/>
          <w:numId w:val="15"/>
        </w:numPr>
        <w:rPr>
          <w:rStyle w:val="BookTitle"/>
          <w:i w:val="0"/>
          <w:iCs w:val="0"/>
          <w:smallCaps w:val="0"/>
          <w:spacing w:val="0"/>
        </w:rPr>
      </w:pPr>
      <w:r>
        <w:rPr>
          <w:rStyle w:val="BookTitle"/>
          <w:i w:val="0"/>
          <w:iCs w:val="0"/>
          <w:smallCaps w:val="0"/>
          <w:spacing w:val="0"/>
        </w:rPr>
        <w:t>it</w:t>
      </w:r>
      <w:r w:rsidR="00733F53" w:rsidRPr="00F34FE7">
        <w:rPr>
          <w:rStyle w:val="BookTitle"/>
          <w:i w:val="0"/>
          <w:iCs w:val="0"/>
          <w:smallCaps w:val="0"/>
          <w:spacing w:val="0"/>
        </w:rPr>
        <w:t xml:space="preserve"> will </w:t>
      </w:r>
      <w:r w:rsidR="004E6A92" w:rsidRPr="00F34FE7">
        <w:rPr>
          <w:rStyle w:val="BookTitle"/>
          <w:i w:val="0"/>
          <w:iCs w:val="0"/>
          <w:smallCaps w:val="0"/>
          <w:spacing w:val="0"/>
        </w:rPr>
        <w:t>allow</w:t>
      </w:r>
      <w:r w:rsidR="00733F53" w:rsidRPr="00F34FE7">
        <w:rPr>
          <w:rStyle w:val="BookTitle"/>
          <w:i w:val="0"/>
          <w:iCs w:val="0"/>
          <w:smallCaps w:val="0"/>
          <w:spacing w:val="0"/>
        </w:rPr>
        <w:t xml:space="preserve"> </w:t>
      </w:r>
      <w:r w:rsidR="003A085B" w:rsidRPr="00F34FE7">
        <w:rPr>
          <w:rStyle w:val="BookTitle"/>
          <w:i w:val="0"/>
          <w:iCs w:val="0"/>
          <w:smallCaps w:val="0"/>
          <w:spacing w:val="0"/>
        </w:rPr>
        <w:t xml:space="preserve">Government </w:t>
      </w:r>
      <w:r w:rsidR="00733F53" w:rsidRPr="00F34FE7">
        <w:rPr>
          <w:rStyle w:val="BookTitle"/>
          <w:i w:val="0"/>
          <w:iCs w:val="0"/>
          <w:smallCaps w:val="0"/>
          <w:spacing w:val="0"/>
        </w:rPr>
        <w:t xml:space="preserve">to implement </w:t>
      </w:r>
      <w:r w:rsidR="0027252E">
        <w:rPr>
          <w:rStyle w:val="BookTitle"/>
          <w:i w:val="0"/>
          <w:iCs w:val="0"/>
          <w:smallCaps w:val="0"/>
          <w:spacing w:val="0"/>
        </w:rPr>
        <w:t>a planned and orderly</w:t>
      </w:r>
      <w:r w:rsidR="00733F53" w:rsidRPr="00F34FE7">
        <w:rPr>
          <w:rStyle w:val="BookTitle"/>
          <w:i w:val="0"/>
          <w:iCs w:val="0"/>
          <w:smallCaps w:val="0"/>
          <w:spacing w:val="0"/>
        </w:rPr>
        <w:t xml:space="preserve"> transition to a new wage assessment process in consultation with all stakeholders</w:t>
      </w:r>
      <w:r w:rsidR="009637AE">
        <w:rPr>
          <w:rStyle w:val="BookTitle"/>
          <w:i w:val="0"/>
          <w:iCs w:val="0"/>
          <w:smallCaps w:val="0"/>
          <w:spacing w:val="0"/>
        </w:rPr>
        <w:t>; and</w:t>
      </w:r>
      <w:r w:rsidR="004E6A92" w:rsidRPr="00F34FE7">
        <w:rPr>
          <w:rStyle w:val="BookTitle"/>
          <w:i w:val="0"/>
          <w:iCs w:val="0"/>
          <w:smallCaps w:val="0"/>
          <w:spacing w:val="0"/>
        </w:rPr>
        <w:t xml:space="preserve"> </w:t>
      </w:r>
    </w:p>
    <w:p w:rsidR="00733F53" w:rsidRPr="00F34FE7" w:rsidRDefault="008E11C6" w:rsidP="002A55FA">
      <w:pPr>
        <w:pStyle w:val="ListParagraph"/>
        <w:numPr>
          <w:ilvl w:val="1"/>
          <w:numId w:val="15"/>
        </w:numPr>
        <w:rPr>
          <w:rStyle w:val="BookTitle"/>
          <w:i w:val="0"/>
          <w:iCs w:val="0"/>
          <w:smallCaps w:val="0"/>
          <w:spacing w:val="0"/>
        </w:rPr>
      </w:pPr>
      <w:proofErr w:type="gramStart"/>
      <w:r>
        <w:rPr>
          <w:rStyle w:val="BookTitle"/>
          <w:i w:val="0"/>
          <w:iCs w:val="0"/>
          <w:smallCaps w:val="0"/>
          <w:spacing w:val="0"/>
        </w:rPr>
        <w:t>i</w:t>
      </w:r>
      <w:r w:rsidR="004E6A92" w:rsidRPr="00F34FE7">
        <w:rPr>
          <w:rStyle w:val="BookTitle"/>
          <w:i w:val="0"/>
          <w:iCs w:val="0"/>
          <w:smallCaps w:val="0"/>
          <w:spacing w:val="0"/>
        </w:rPr>
        <w:t>t</w:t>
      </w:r>
      <w:proofErr w:type="gramEnd"/>
      <w:r w:rsidR="004E6A92" w:rsidRPr="00F34FE7">
        <w:rPr>
          <w:rStyle w:val="BookTitle"/>
          <w:i w:val="0"/>
          <w:iCs w:val="0"/>
          <w:smallCaps w:val="0"/>
          <w:spacing w:val="0"/>
        </w:rPr>
        <w:t xml:space="preserve"> will provide the opportunity to </w:t>
      </w:r>
      <w:r w:rsidR="00733F53" w:rsidRPr="00F34FE7">
        <w:rPr>
          <w:rStyle w:val="BookTitle"/>
          <w:i w:val="0"/>
          <w:iCs w:val="0"/>
          <w:smallCaps w:val="0"/>
          <w:spacing w:val="0"/>
        </w:rPr>
        <w:t xml:space="preserve">build infrastructure and capacity </w:t>
      </w:r>
      <w:r w:rsidR="00310246" w:rsidRPr="00F34FE7">
        <w:rPr>
          <w:rStyle w:val="BookTitle"/>
          <w:i w:val="0"/>
          <w:iCs w:val="0"/>
          <w:smallCaps w:val="0"/>
          <w:spacing w:val="0"/>
        </w:rPr>
        <w:t>to ensure</w:t>
      </w:r>
      <w:r w:rsidR="003A085B" w:rsidRPr="00F34FE7">
        <w:rPr>
          <w:rStyle w:val="BookTitle"/>
          <w:i w:val="0"/>
          <w:iCs w:val="0"/>
          <w:smallCaps w:val="0"/>
          <w:spacing w:val="0"/>
        </w:rPr>
        <w:t xml:space="preserve"> the sector remains sustainable</w:t>
      </w:r>
      <w:r w:rsidR="00310246" w:rsidRPr="00F34FE7">
        <w:rPr>
          <w:rStyle w:val="BookTitle"/>
          <w:i w:val="0"/>
          <w:iCs w:val="0"/>
          <w:smallCaps w:val="0"/>
          <w:spacing w:val="0"/>
        </w:rPr>
        <w:t>,</w:t>
      </w:r>
      <w:r w:rsidR="003A085B" w:rsidRPr="00F34FE7">
        <w:rPr>
          <w:rStyle w:val="BookTitle"/>
          <w:i w:val="0"/>
          <w:iCs w:val="0"/>
          <w:smallCaps w:val="0"/>
          <w:spacing w:val="0"/>
        </w:rPr>
        <w:t xml:space="preserve"> while at the same time paying higher wages to supported employees. </w:t>
      </w:r>
    </w:p>
    <w:p w:rsidR="00310246" w:rsidRDefault="008E11C6" w:rsidP="00310246">
      <w:pPr>
        <w:pStyle w:val="ListParagraph"/>
        <w:numPr>
          <w:ilvl w:val="0"/>
          <w:numId w:val="7"/>
        </w:numPr>
        <w:rPr>
          <w:rStyle w:val="BookTitle"/>
          <w:i w:val="0"/>
          <w:iCs w:val="0"/>
          <w:smallCaps w:val="0"/>
          <w:spacing w:val="0"/>
        </w:rPr>
      </w:pPr>
      <w:r>
        <w:rPr>
          <w:rStyle w:val="BookTitle"/>
          <w:i w:val="0"/>
          <w:iCs w:val="0"/>
          <w:smallCaps w:val="0"/>
          <w:spacing w:val="0"/>
        </w:rPr>
        <w:t xml:space="preserve">Another significant component of resolving issues for supported employees is the </w:t>
      </w:r>
      <w:r w:rsidR="0027252E">
        <w:rPr>
          <w:rStyle w:val="BookTitle"/>
          <w:i w:val="0"/>
          <w:iCs w:val="0"/>
          <w:smallCaps w:val="0"/>
          <w:spacing w:val="0"/>
        </w:rPr>
        <w:t>Government’s</w:t>
      </w:r>
      <w:r w:rsidR="00890796">
        <w:rPr>
          <w:rStyle w:val="BookTitle"/>
          <w:i w:val="0"/>
          <w:iCs w:val="0"/>
          <w:smallCaps w:val="0"/>
          <w:spacing w:val="0"/>
        </w:rPr>
        <w:t xml:space="preserve"> </w:t>
      </w:r>
      <w:r w:rsidR="0027252E">
        <w:rPr>
          <w:rStyle w:val="BookTitle"/>
          <w:i w:val="0"/>
          <w:iCs w:val="0"/>
          <w:smallCaps w:val="0"/>
          <w:spacing w:val="0"/>
        </w:rPr>
        <w:t>recently announced</w:t>
      </w:r>
      <w:r w:rsidR="00310246" w:rsidRPr="00F34FE7">
        <w:rPr>
          <w:rStyle w:val="BookTitle"/>
          <w:i w:val="0"/>
          <w:iCs w:val="0"/>
          <w:smallCaps w:val="0"/>
          <w:spacing w:val="0"/>
        </w:rPr>
        <w:t xml:space="preserve"> BSWAT Payments Scheme</w:t>
      </w:r>
      <w:r>
        <w:rPr>
          <w:rStyle w:val="BookTitle"/>
          <w:i w:val="0"/>
          <w:iCs w:val="0"/>
          <w:smallCaps w:val="0"/>
          <w:spacing w:val="0"/>
        </w:rPr>
        <w:t>.  The Scheme</w:t>
      </w:r>
      <w:r w:rsidR="00310246" w:rsidRPr="00F34FE7">
        <w:rPr>
          <w:rStyle w:val="BookTitle"/>
          <w:i w:val="0"/>
          <w:iCs w:val="0"/>
          <w:smallCaps w:val="0"/>
          <w:spacing w:val="0"/>
        </w:rPr>
        <w:t xml:space="preserve"> will provide </w:t>
      </w:r>
      <w:r w:rsidR="003764D4">
        <w:rPr>
          <w:rStyle w:val="BookTitle"/>
          <w:i w:val="0"/>
          <w:iCs w:val="0"/>
          <w:smallCaps w:val="0"/>
          <w:spacing w:val="0"/>
        </w:rPr>
        <w:t xml:space="preserve">a one-off retrospective additional payment </w:t>
      </w:r>
      <w:r w:rsidR="00310246" w:rsidRPr="00F34FE7">
        <w:rPr>
          <w:rStyle w:val="BookTitle"/>
          <w:i w:val="0"/>
          <w:iCs w:val="0"/>
          <w:smallCaps w:val="0"/>
          <w:spacing w:val="0"/>
        </w:rPr>
        <w:t>for eligible supported employees impacted by the use of the BSWAT</w:t>
      </w:r>
      <w:r w:rsidR="003764D4">
        <w:rPr>
          <w:rStyle w:val="BookTitle"/>
          <w:i w:val="0"/>
          <w:iCs w:val="0"/>
          <w:smallCaps w:val="0"/>
          <w:spacing w:val="0"/>
        </w:rPr>
        <w:t xml:space="preserve"> prior to 21 December 2012.</w:t>
      </w:r>
    </w:p>
    <w:p w:rsidR="009637AE" w:rsidRPr="00F34FE7" w:rsidRDefault="002A55FA" w:rsidP="00310246">
      <w:pPr>
        <w:pStyle w:val="ListParagraph"/>
        <w:numPr>
          <w:ilvl w:val="0"/>
          <w:numId w:val="7"/>
        </w:numPr>
        <w:rPr>
          <w:rStyle w:val="BookTitle"/>
          <w:i w:val="0"/>
          <w:iCs w:val="0"/>
          <w:smallCaps w:val="0"/>
          <w:spacing w:val="0"/>
        </w:rPr>
      </w:pPr>
      <w:r>
        <w:rPr>
          <w:rStyle w:val="BookTitle"/>
          <w:i w:val="0"/>
          <w:iCs w:val="0"/>
          <w:smallCaps w:val="0"/>
          <w:spacing w:val="0"/>
        </w:rPr>
        <w:t xml:space="preserve">Work </w:t>
      </w:r>
      <w:r w:rsidR="009637AE">
        <w:rPr>
          <w:rStyle w:val="BookTitle"/>
          <w:i w:val="0"/>
          <w:iCs w:val="0"/>
          <w:smallCaps w:val="0"/>
          <w:spacing w:val="0"/>
        </w:rPr>
        <w:t>is underway to build capacity and viability of the ADE sector to ensure their ability to pay higher wages to supported employees.</w:t>
      </w:r>
    </w:p>
    <w:p w:rsidR="00380CA7" w:rsidRPr="008E11C6" w:rsidRDefault="00380CA7" w:rsidP="00380CA7">
      <w:pPr>
        <w:pStyle w:val="ListParagraph"/>
        <w:rPr>
          <w:rStyle w:val="BookTitle"/>
          <w:i w:val="0"/>
          <w:iCs w:val="0"/>
          <w:smallCaps w:val="0"/>
          <w:spacing w:val="0"/>
        </w:rPr>
      </w:pPr>
    </w:p>
    <w:p w:rsidR="00A7697D" w:rsidRDefault="00A7697D" w:rsidP="008856B7">
      <w:pPr>
        <w:pStyle w:val="ListParagraph"/>
        <w:numPr>
          <w:ilvl w:val="0"/>
          <w:numId w:val="21"/>
        </w:numPr>
        <w:ind w:left="426" w:hanging="426"/>
        <w:rPr>
          <w:rStyle w:val="BookTitle"/>
          <w:b/>
          <w:i w:val="0"/>
          <w:iCs w:val="0"/>
          <w:smallCaps w:val="0"/>
          <w:spacing w:val="0"/>
        </w:rPr>
      </w:pPr>
      <w:r>
        <w:rPr>
          <w:rStyle w:val="BookTitle"/>
          <w:b/>
          <w:i w:val="0"/>
          <w:iCs w:val="0"/>
          <w:smallCaps w:val="0"/>
          <w:spacing w:val="0"/>
        </w:rPr>
        <w:t>Provide any additional submission responding to the submissions provided to the Commission, or that you feel appropriate.</w:t>
      </w:r>
    </w:p>
    <w:p w:rsidR="00C05D3D" w:rsidRDefault="00C05D3D" w:rsidP="00C05D3D">
      <w:pPr>
        <w:pStyle w:val="ListParagraph"/>
        <w:ind w:left="426"/>
        <w:rPr>
          <w:rStyle w:val="BookTitle"/>
          <w:b/>
          <w:i w:val="0"/>
          <w:iCs w:val="0"/>
          <w:smallCaps w:val="0"/>
          <w:spacing w:val="0"/>
        </w:rPr>
      </w:pPr>
    </w:p>
    <w:p w:rsidR="00D67B95" w:rsidRDefault="00EC246B" w:rsidP="00C05D3D">
      <w:pPr>
        <w:pStyle w:val="ListParagraph"/>
        <w:ind w:left="426"/>
        <w:rPr>
          <w:rStyle w:val="BookTitle"/>
          <w:i w:val="0"/>
          <w:iCs w:val="0"/>
          <w:smallCaps w:val="0"/>
          <w:spacing w:val="0"/>
        </w:rPr>
      </w:pPr>
      <w:r w:rsidRPr="00EC246B">
        <w:rPr>
          <w:rStyle w:val="BookTitle"/>
          <w:i w:val="0"/>
          <w:iCs w:val="0"/>
          <w:smallCaps w:val="0"/>
          <w:spacing w:val="0"/>
        </w:rPr>
        <w:t xml:space="preserve">The published submissions received by the AHRC on the </w:t>
      </w:r>
      <w:r>
        <w:rPr>
          <w:rStyle w:val="BookTitle"/>
          <w:i w:val="0"/>
          <w:iCs w:val="0"/>
          <w:smallCaps w:val="0"/>
          <w:spacing w:val="0"/>
        </w:rPr>
        <w:t>Depar</w:t>
      </w:r>
      <w:r w:rsidR="00820887">
        <w:rPr>
          <w:rStyle w:val="BookTitle"/>
          <w:i w:val="0"/>
          <w:iCs w:val="0"/>
          <w:smallCaps w:val="0"/>
          <w:spacing w:val="0"/>
        </w:rPr>
        <w:t>t</w:t>
      </w:r>
      <w:r>
        <w:rPr>
          <w:rStyle w:val="BookTitle"/>
          <w:i w:val="0"/>
          <w:iCs w:val="0"/>
          <w:smallCaps w:val="0"/>
          <w:spacing w:val="0"/>
        </w:rPr>
        <w:t xml:space="preserve">ment’s </w:t>
      </w:r>
      <w:r w:rsidRPr="00EC246B">
        <w:rPr>
          <w:rStyle w:val="BookTitle"/>
          <w:i w:val="0"/>
          <w:iCs w:val="0"/>
          <w:smallCaps w:val="0"/>
          <w:spacing w:val="0"/>
        </w:rPr>
        <w:t xml:space="preserve">application </w:t>
      </w:r>
      <w:r>
        <w:rPr>
          <w:rStyle w:val="BookTitle"/>
          <w:i w:val="0"/>
          <w:iCs w:val="0"/>
          <w:smallCaps w:val="0"/>
          <w:spacing w:val="0"/>
        </w:rPr>
        <w:t xml:space="preserve">for a temporary exemption </w:t>
      </w:r>
      <w:r w:rsidRPr="00EC246B">
        <w:rPr>
          <w:rStyle w:val="BookTitle"/>
          <w:i w:val="0"/>
          <w:iCs w:val="0"/>
          <w:smallCaps w:val="0"/>
          <w:spacing w:val="0"/>
        </w:rPr>
        <w:t xml:space="preserve">demonstrate the polarised nature of the </w:t>
      </w:r>
      <w:r>
        <w:rPr>
          <w:rStyle w:val="BookTitle"/>
          <w:i w:val="0"/>
          <w:iCs w:val="0"/>
          <w:smallCaps w:val="0"/>
          <w:spacing w:val="0"/>
        </w:rPr>
        <w:t xml:space="preserve">debate on the issue of wage assessment and the </w:t>
      </w:r>
      <w:r w:rsidRPr="00EC246B">
        <w:rPr>
          <w:rStyle w:val="BookTitle"/>
          <w:i w:val="0"/>
          <w:iCs w:val="0"/>
          <w:smallCaps w:val="0"/>
          <w:spacing w:val="0"/>
        </w:rPr>
        <w:t xml:space="preserve">views </w:t>
      </w:r>
      <w:r>
        <w:rPr>
          <w:rStyle w:val="BookTitle"/>
          <w:i w:val="0"/>
          <w:iCs w:val="0"/>
          <w:smallCaps w:val="0"/>
          <w:spacing w:val="0"/>
        </w:rPr>
        <w:t xml:space="preserve">held by </w:t>
      </w:r>
      <w:r w:rsidRPr="00EC246B">
        <w:rPr>
          <w:rStyle w:val="BookTitle"/>
          <w:i w:val="0"/>
          <w:iCs w:val="0"/>
          <w:smallCaps w:val="0"/>
          <w:spacing w:val="0"/>
        </w:rPr>
        <w:t>stakeholders. Advocates are in the main opposed to the application, ADEs support the application</w:t>
      </w:r>
      <w:r w:rsidR="00D67B95">
        <w:rPr>
          <w:rStyle w:val="BookTitle"/>
          <w:i w:val="0"/>
          <w:iCs w:val="0"/>
          <w:smallCaps w:val="0"/>
          <w:spacing w:val="0"/>
        </w:rPr>
        <w:t>,</w:t>
      </w:r>
      <w:r w:rsidRPr="00EC246B">
        <w:rPr>
          <w:rStyle w:val="BookTitle"/>
          <w:i w:val="0"/>
          <w:iCs w:val="0"/>
          <w:smallCaps w:val="0"/>
          <w:spacing w:val="0"/>
        </w:rPr>
        <w:t xml:space="preserve"> and people with disability and </w:t>
      </w:r>
      <w:r w:rsidR="00D67B95">
        <w:rPr>
          <w:rStyle w:val="BookTitle"/>
          <w:i w:val="0"/>
          <w:iCs w:val="0"/>
          <w:smallCaps w:val="0"/>
          <w:spacing w:val="0"/>
        </w:rPr>
        <w:t xml:space="preserve">their </w:t>
      </w:r>
      <w:r w:rsidRPr="00EC246B">
        <w:rPr>
          <w:rStyle w:val="BookTitle"/>
          <w:i w:val="0"/>
          <w:iCs w:val="0"/>
          <w:smallCaps w:val="0"/>
          <w:spacing w:val="0"/>
        </w:rPr>
        <w:t xml:space="preserve">families are divided or </w:t>
      </w:r>
      <w:r w:rsidR="005F09CF">
        <w:rPr>
          <w:rStyle w:val="BookTitle"/>
          <w:i w:val="0"/>
          <w:iCs w:val="0"/>
          <w:smallCaps w:val="0"/>
          <w:spacing w:val="0"/>
        </w:rPr>
        <w:t xml:space="preserve">more often </w:t>
      </w:r>
      <w:r w:rsidR="00997C53">
        <w:rPr>
          <w:rStyle w:val="BookTitle"/>
          <w:i w:val="0"/>
          <w:iCs w:val="0"/>
          <w:smallCaps w:val="0"/>
          <w:spacing w:val="0"/>
        </w:rPr>
        <w:t xml:space="preserve">unclear </w:t>
      </w:r>
      <w:r w:rsidR="005F09CF">
        <w:rPr>
          <w:rStyle w:val="BookTitle"/>
          <w:i w:val="0"/>
          <w:iCs w:val="0"/>
          <w:smallCaps w:val="0"/>
          <w:spacing w:val="0"/>
        </w:rPr>
        <w:t xml:space="preserve">about their position on the </w:t>
      </w:r>
      <w:r w:rsidR="00997C53">
        <w:rPr>
          <w:rStyle w:val="BookTitle"/>
          <w:i w:val="0"/>
          <w:iCs w:val="0"/>
          <w:smallCaps w:val="0"/>
          <w:spacing w:val="0"/>
        </w:rPr>
        <w:t>application</w:t>
      </w:r>
      <w:r w:rsidR="00D67B95">
        <w:rPr>
          <w:rStyle w:val="BookTitle"/>
          <w:i w:val="0"/>
          <w:iCs w:val="0"/>
          <w:smallCaps w:val="0"/>
          <w:spacing w:val="0"/>
        </w:rPr>
        <w:t xml:space="preserve">.  </w:t>
      </w:r>
      <w:r w:rsidR="00FE0EB9">
        <w:rPr>
          <w:rStyle w:val="BookTitle"/>
          <w:i w:val="0"/>
          <w:iCs w:val="0"/>
          <w:smallCaps w:val="0"/>
          <w:spacing w:val="0"/>
        </w:rPr>
        <w:t>F</w:t>
      </w:r>
      <w:r w:rsidR="00D67B95">
        <w:rPr>
          <w:rStyle w:val="BookTitle"/>
          <w:i w:val="0"/>
          <w:iCs w:val="0"/>
          <w:smallCaps w:val="0"/>
          <w:spacing w:val="0"/>
        </w:rPr>
        <w:t>amilies of those with high support needs</w:t>
      </w:r>
      <w:r w:rsidR="00FE0EB9">
        <w:rPr>
          <w:rStyle w:val="BookTitle"/>
          <w:i w:val="0"/>
          <w:iCs w:val="0"/>
          <w:smallCaps w:val="0"/>
          <w:spacing w:val="0"/>
        </w:rPr>
        <w:t xml:space="preserve"> however,</w:t>
      </w:r>
      <w:r w:rsidR="00D67B95">
        <w:rPr>
          <w:rStyle w:val="BookTitle"/>
          <w:i w:val="0"/>
          <w:iCs w:val="0"/>
          <w:smallCaps w:val="0"/>
          <w:spacing w:val="0"/>
        </w:rPr>
        <w:t xml:space="preserve"> </w:t>
      </w:r>
      <w:r w:rsidR="00997C53">
        <w:rPr>
          <w:rStyle w:val="BookTitle"/>
          <w:i w:val="0"/>
          <w:iCs w:val="0"/>
          <w:smallCaps w:val="0"/>
          <w:spacing w:val="0"/>
        </w:rPr>
        <w:t xml:space="preserve">often </w:t>
      </w:r>
      <w:r w:rsidR="00D67B95">
        <w:rPr>
          <w:rStyle w:val="BookTitle"/>
          <w:i w:val="0"/>
          <w:iCs w:val="0"/>
          <w:smallCaps w:val="0"/>
          <w:spacing w:val="0"/>
        </w:rPr>
        <w:t xml:space="preserve">emphasise the important role that ADEs have in the lives of their family member with disability. </w:t>
      </w:r>
      <w:r w:rsidR="00FE0EB9">
        <w:rPr>
          <w:rStyle w:val="BookTitle"/>
          <w:i w:val="0"/>
          <w:iCs w:val="0"/>
          <w:smallCaps w:val="0"/>
          <w:spacing w:val="0"/>
        </w:rPr>
        <w:t xml:space="preserve"> </w:t>
      </w:r>
      <w:r w:rsidR="00820887">
        <w:rPr>
          <w:rStyle w:val="BookTitle"/>
          <w:i w:val="0"/>
          <w:iCs w:val="0"/>
          <w:smallCaps w:val="0"/>
          <w:spacing w:val="0"/>
        </w:rPr>
        <w:t xml:space="preserve">In contrast, advocates generally hold a view that open employment should be the aim of any employment assistance provided by government. </w:t>
      </w:r>
    </w:p>
    <w:p w:rsidR="00D67B95" w:rsidRDefault="00D67B95" w:rsidP="00C05D3D">
      <w:pPr>
        <w:pStyle w:val="ListParagraph"/>
        <w:ind w:left="426"/>
        <w:rPr>
          <w:rStyle w:val="BookTitle"/>
          <w:i w:val="0"/>
          <w:iCs w:val="0"/>
          <w:smallCaps w:val="0"/>
          <w:spacing w:val="0"/>
        </w:rPr>
      </w:pPr>
    </w:p>
    <w:p w:rsidR="00C05D3D" w:rsidRDefault="00D67B95" w:rsidP="00C05D3D">
      <w:pPr>
        <w:pStyle w:val="ListParagraph"/>
        <w:ind w:left="426"/>
        <w:rPr>
          <w:rStyle w:val="BookTitle"/>
          <w:i w:val="0"/>
          <w:iCs w:val="0"/>
          <w:smallCaps w:val="0"/>
          <w:spacing w:val="0"/>
        </w:rPr>
      </w:pPr>
      <w:r>
        <w:rPr>
          <w:rStyle w:val="BookTitle"/>
          <w:i w:val="0"/>
          <w:iCs w:val="0"/>
          <w:smallCaps w:val="0"/>
          <w:spacing w:val="0"/>
        </w:rPr>
        <w:t>Despite the disparity of views there is some</w:t>
      </w:r>
      <w:r w:rsidR="00EC246B" w:rsidRPr="00EC246B">
        <w:rPr>
          <w:rStyle w:val="BookTitle"/>
          <w:i w:val="0"/>
          <w:iCs w:val="0"/>
          <w:smallCaps w:val="0"/>
          <w:spacing w:val="0"/>
        </w:rPr>
        <w:t xml:space="preserve"> common </w:t>
      </w:r>
      <w:r>
        <w:rPr>
          <w:rStyle w:val="BookTitle"/>
          <w:i w:val="0"/>
          <w:iCs w:val="0"/>
          <w:smallCaps w:val="0"/>
          <w:spacing w:val="0"/>
        </w:rPr>
        <w:t xml:space="preserve">ground covered in </w:t>
      </w:r>
      <w:r w:rsidR="00EC246B" w:rsidRPr="00EC246B">
        <w:rPr>
          <w:rStyle w:val="BookTitle"/>
          <w:i w:val="0"/>
          <w:iCs w:val="0"/>
          <w:smallCaps w:val="0"/>
          <w:spacing w:val="0"/>
        </w:rPr>
        <w:t xml:space="preserve">many </w:t>
      </w:r>
      <w:r>
        <w:rPr>
          <w:rStyle w:val="BookTitle"/>
          <w:i w:val="0"/>
          <w:iCs w:val="0"/>
          <w:smallCaps w:val="0"/>
          <w:spacing w:val="0"/>
        </w:rPr>
        <w:t xml:space="preserve">of the </w:t>
      </w:r>
      <w:r w:rsidR="00EC246B" w:rsidRPr="00EC246B">
        <w:rPr>
          <w:rStyle w:val="BookTitle"/>
          <w:i w:val="0"/>
          <w:iCs w:val="0"/>
          <w:smallCaps w:val="0"/>
          <w:spacing w:val="0"/>
        </w:rPr>
        <w:t>submission</w:t>
      </w:r>
      <w:r>
        <w:rPr>
          <w:rStyle w:val="BookTitle"/>
          <w:i w:val="0"/>
          <w:iCs w:val="0"/>
          <w:smallCaps w:val="0"/>
          <w:spacing w:val="0"/>
        </w:rPr>
        <w:t>.  The submissions often emphasise</w:t>
      </w:r>
      <w:r w:rsidR="00EC246B" w:rsidRPr="00EC246B">
        <w:rPr>
          <w:rStyle w:val="BookTitle"/>
          <w:i w:val="0"/>
          <w:iCs w:val="0"/>
          <w:smallCaps w:val="0"/>
          <w:spacing w:val="0"/>
        </w:rPr>
        <w:t xml:space="preserve"> the importance of employment options for people with disability, the importan</w:t>
      </w:r>
      <w:r w:rsidR="00312CB5">
        <w:rPr>
          <w:rStyle w:val="BookTitle"/>
          <w:i w:val="0"/>
          <w:iCs w:val="0"/>
          <w:smallCaps w:val="0"/>
          <w:spacing w:val="0"/>
        </w:rPr>
        <w:t>t</w:t>
      </w:r>
      <w:r w:rsidR="00EC246B" w:rsidRPr="00EC246B">
        <w:rPr>
          <w:rStyle w:val="BookTitle"/>
          <w:i w:val="0"/>
          <w:iCs w:val="0"/>
          <w:smallCaps w:val="0"/>
          <w:spacing w:val="0"/>
        </w:rPr>
        <w:t xml:space="preserve"> </w:t>
      </w:r>
      <w:r w:rsidR="00FE0EB9">
        <w:rPr>
          <w:rStyle w:val="BookTitle"/>
          <w:i w:val="0"/>
          <w:iCs w:val="0"/>
          <w:smallCaps w:val="0"/>
          <w:spacing w:val="0"/>
        </w:rPr>
        <w:t xml:space="preserve">role </w:t>
      </w:r>
      <w:r w:rsidR="00EC246B" w:rsidRPr="00EC246B">
        <w:rPr>
          <w:rStyle w:val="BookTitle"/>
          <w:i w:val="0"/>
          <w:iCs w:val="0"/>
          <w:smallCaps w:val="0"/>
          <w:spacing w:val="0"/>
        </w:rPr>
        <w:t xml:space="preserve">supported employment </w:t>
      </w:r>
      <w:r w:rsidR="00FE0EB9">
        <w:rPr>
          <w:rStyle w:val="BookTitle"/>
          <w:i w:val="0"/>
          <w:iCs w:val="0"/>
          <w:smallCaps w:val="0"/>
          <w:spacing w:val="0"/>
        </w:rPr>
        <w:t xml:space="preserve">has </w:t>
      </w:r>
      <w:r w:rsidR="00EC246B" w:rsidRPr="00EC246B">
        <w:rPr>
          <w:rStyle w:val="BookTitle"/>
          <w:i w:val="0"/>
          <w:iCs w:val="0"/>
          <w:smallCaps w:val="0"/>
          <w:spacing w:val="0"/>
        </w:rPr>
        <w:t>for those with high support needs in terms of participation and social inclusion</w:t>
      </w:r>
      <w:r>
        <w:rPr>
          <w:rStyle w:val="BookTitle"/>
          <w:i w:val="0"/>
          <w:iCs w:val="0"/>
          <w:smallCaps w:val="0"/>
          <w:spacing w:val="0"/>
        </w:rPr>
        <w:t xml:space="preserve">, </w:t>
      </w:r>
      <w:r w:rsidR="00D72CD4">
        <w:rPr>
          <w:rStyle w:val="BookTitle"/>
          <w:i w:val="0"/>
          <w:iCs w:val="0"/>
          <w:smallCaps w:val="0"/>
          <w:spacing w:val="0"/>
        </w:rPr>
        <w:t xml:space="preserve">and </w:t>
      </w:r>
      <w:r w:rsidRPr="00EC246B">
        <w:rPr>
          <w:rStyle w:val="BookTitle"/>
          <w:i w:val="0"/>
          <w:iCs w:val="0"/>
          <w:smallCaps w:val="0"/>
          <w:spacing w:val="0"/>
        </w:rPr>
        <w:t xml:space="preserve">the need to </w:t>
      </w:r>
      <w:r>
        <w:rPr>
          <w:rStyle w:val="BookTitle"/>
          <w:i w:val="0"/>
          <w:iCs w:val="0"/>
          <w:smallCaps w:val="0"/>
          <w:spacing w:val="0"/>
        </w:rPr>
        <w:t>assess wages in a way which does not discriminate</w:t>
      </w:r>
      <w:r w:rsidR="00312CB5">
        <w:rPr>
          <w:rStyle w:val="BookTitle"/>
          <w:i w:val="0"/>
          <w:iCs w:val="0"/>
          <w:smallCaps w:val="0"/>
          <w:spacing w:val="0"/>
        </w:rPr>
        <w:t xml:space="preserve"> and also </w:t>
      </w:r>
      <w:r>
        <w:rPr>
          <w:rStyle w:val="BookTitle"/>
          <w:i w:val="0"/>
          <w:iCs w:val="0"/>
          <w:smallCaps w:val="0"/>
          <w:spacing w:val="0"/>
        </w:rPr>
        <w:t xml:space="preserve"> </w:t>
      </w:r>
      <w:r w:rsidR="00D72CD4">
        <w:rPr>
          <w:rStyle w:val="BookTitle"/>
          <w:i w:val="0"/>
          <w:iCs w:val="0"/>
          <w:smallCaps w:val="0"/>
          <w:spacing w:val="0"/>
        </w:rPr>
        <w:t>results in fair wages for people with disability</w:t>
      </w:r>
      <w:r w:rsidR="005F09CF">
        <w:rPr>
          <w:rStyle w:val="BookTitle"/>
          <w:i w:val="0"/>
          <w:iCs w:val="0"/>
          <w:smallCaps w:val="0"/>
          <w:spacing w:val="0"/>
        </w:rPr>
        <w:t xml:space="preserve"> which accurately recognises their productivity</w:t>
      </w:r>
      <w:r w:rsidR="00D72CD4">
        <w:rPr>
          <w:rStyle w:val="BookTitle"/>
          <w:i w:val="0"/>
          <w:iCs w:val="0"/>
          <w:smallCaps w:val="0"/>
          <w:spacing w:val="0"/>
        </w:rPr>
        <w:t xml:space="preserve">. </w:t>
      </w:r>
    </w:p>
    <w:p w:rsidR="00997C53" w:rsidRDefault="00997C53" w:rsidP="00C05D3D">
      <w:pPr>
        <w:pStyle w:val="ListParagraph"/>
        <w:ind w:left="426"/>
        <w:rPr>
          <w:rStyle w:val="BookTitle"/>
          <w:i w:val="0"/>
          <w:iCs w:val="0"/>
          <w:smallCaps w:val="0"/>
          <w:spacing w:val="0"/>
        </w:rPr>
      </w:pPr>
    </w:p>
    <w:p w:rsidR="00997C53" w:rsidRDefault="00997C53" w:rsidP="00C05D3D">
      <w:pPr>
        <w:pStyle w:val="ListParagraph"/>
        <w:ind w:left="426"/>
        <w:rPr>
          <w:rStyle w:val="BookTitle"/>
          <w:i w:val="0"/>
          <w:iCs w:val="0"/>
          <w:smallCaps w:val="0"/>
          <w:spacing w:val="0"/>
        </w:rPr>
      </w:pPr>
      <w:r>
        <w:rPr>
          <w:rStyle w:val="BookTitle"/>
          <w:i w:val="0"/>
          <w:iCs w:val="0"/>
          <w:smallCaps w:val="0"/>
          <w:spacing w:val="0"/>
        </w:rPr>
        <w:lastRenderedPageBreak/>
        <w:t xml:space="preserve">The Department </w:t>
      </w:r>
      <w:r w:rsidR="008E11C6">
        <w:rPr>
          <w:rStyle w:val="BookTitle"/>
          <w:i w:val="0"/>
          <w:iCs w:val="0"/>
          <w:smallCaps w:val="0"/>
          <w:spacing w:val="0"/>
        </w:rPr>
        <w:t>a</w:t>
      </w:r>
      <w:r w:rsidR="00716847">
        <w:rPr>
          <w:rStyle w:val="BookTitle"/>
          <w:i w:val="0"/>
          <w:iCs w:val="0"/>
          <w:smallCaps w:val="0"/>
          <w:spacing w:val="0"/>
        </w:rPr>
        <w:t>cknowledges</w:t>
      </w:r>
      <w:r w:rsidR="008E11C6">
        <w:rPr>
          <w:rStyle w:val="BookTitle"/>
          <w:i w:val="0"/>
          <w:iCs w:val="0"/>
          <w:smallCaps w:val="0"/>
          <w:spacing w:val="0"/>
        </w:rPr>
        <w:t xml:space="preserve"> </w:t>
      </w:r>
      <w:r>
        <w:rPr>
          <w:rStyle w:val="BookTitle"/>
          <w:i w:val="0"/>
          <w:iCs w:val="0"/>
          <w:smallCaps w:val="0"/>
          <w:spacing w:val="0"/>
        </w:rPr>
        <w:t xml:space="preserve">the view </w:t>
      </w:r>
      <w:r w:rsidR="005F09CF">
        <w:rPr>
          <w:rStyle w:val="BookTitle"/>
          <w:i w:val="0"/>
          <w:iCs w:val="0"/>
          <w:smallCaps w:val="0"/>
          <w:spacing w:val="0"/>
        </w:rPr>
        <w:t xml:space="preserve">often expressed in submissions </w:t>
      </w:r>
      <w:r>
        <w:rPr>
          <w:rStyle w:val="BookTitle"/>
          <w:i w:val="0"/>
          <w:iCs w:val="0"/>
          <w:smallCaps w:val="0"/>
          <w:spacing w:val="0"/>
        </w:rPr>
        <w:t xml:space="preserve">that the BSWAT </w:t>
      </w:r>
      <w:r w:rsidR="005F09CF">
        <w:rPr>
          <w:rStyle w:val="BookTitle"/>
          <w:i w:val="0"/>
          <w:iCs w:val="0"/>
          <w:smallCaps w:val="0"/>
          <w:spacing w:val="0"/>
        </w:rPr>
        <w:t xml:space="preserve">had become out-dated and was due for review.  The application for a temporary exemption will allow time to carry out the complex work required to replace the BSWAT with new wage assessment arrangements. In addition, it will enable </w:t>
      </w:r>
      <w:r w:rsidR="00B344AF">
        <w:rPr>
          <w:rStyle w:val="BookTitle"/>
          <w:i w:val="0"/>
          <w:iCs w:val="0"/>
          <w:smallCaps w:val="0"/>
          <w:spacing w:val="0"/>
        </w:rPr>
        <w:t xml:space="preserve">the Government and the </w:t>
      </w:r>
      <w:r w:rsidR="00FE0EB9">
        <w:rPr>
          <w:rStyle w:val="BookTitle"/>
          <w:i w:val="0"/>
          <w:iCs w:val="0"/>
          <w:smallCaps w:val="0"/>
          <w:spacing w:val="0"/>
        </w:rPr>
        <w:t xml:space="preserve">ADE </w:t>
      </w:r>
      <w:r w:rsidR="00B344AF">
        <w:rPr>
          <w:rStyle w:val="BookTitle"/>
          <w:i w:val="0"/>
          <w:iCs w:val="0"/>
          <w:smallCaps w:val="0"/>
          <w:spacing w:val="0"/>
        </w:rPr>
        <w:t xml:space="preserve">sector time to carry out </w:t>
      </w:r>
      <w:r w:rsidR="00FE0EB9">
        <w:rPr>
          <w:rStyle w:val="BookTitle"/>
          <w:i w:val="0"/>
          <w:iCs w:val="0"/>
          <w:smallCaps w:val="0"/>
          <w:spacing w:val="0"/>
        </w:rPr>
        <w:t>critical</w:t>
      </w:r>
      <w:r w:rsidR="005F09CF">
        <w:rPr>
          <w:rStyle w:val="BookTitle"/>
          <w:i w:val="0"/>
          <w:iCs w:val="0"/>
          <w:smallCaps w:val="0"/>
          <w:spacing w:val="0"/>
        </w:rPr>
        <w:t xml:space="preserve"> </w:t>
      </w:r>
      <w:r w:rsidR="00B344AF">
        <w:rPr>
          <w:rStyle w:val="BookTitle"/>
          <w:i w:val="0"/>
          <w:iCs w:val="0"/>
          <w:smallCaps w:val="0"/>
          <w:spacing w:val="0"/>
        </w:rPr>
        <w:t xml:space="preserve">reforms </w:t>
      </w:r>
      <w:r w:rsidR="005F09CF">
        <w:rPr>
          <w:rStyle w:val="BookTitle"/>
          <w:i w:val="0"/>
          <w:iCs w:val="0"/>
          <w:smallCaps w:val="0"/>
          <w:spacing w:val="0"/>
        </w:rPr>
        <w:t xml:space="preserve">to </w:t>
      </w:r>
      <w:r w:rsidR="00C1083E">
        <w:rPr>
          <w:rStyle w:val="BookTitle"/>
          <w:i w:val="0"/>
          <w:iCs w:val="0"/>
          <w:smallCaps w:val="0"/>
          <w:spacing w:val="0"/>
        </w:rPr>
        <w:t xml:space="preserve">ensure </w:t>
      </w:r>
      <w:r w:rsidR="00B344AF">
        <w:rPr>
          <w:rStyle w:val="BookTitle"/>
          <w:i w:val="0"/>
          <w:iCs w:val="0"/>
          <w:smallCaps w:val="0"/>
          <w:spacing w:val="0"/>
        </w:rPr>
        <w:t xml:space="preserve">the </w:t>
      </w:r>
      <w:r w:rsidR="005F09CF">
        <w:rPr>
          <w:rStyle w:val="BookTitle"/>
          <w:i w:val="0"/>
          <w:iCs w:val="0"/>
          <w:smallCaps w:val="0"/>
          <w:spacing w:val="0"/>
        </w:rPr>
        <w:t xml:space="preserve">viability and capacity </w:t>
      </w:r>
      <w:r w:rsidR="00FE0EB9">
        <w:rPr>
          <w:rStyle w:val="BookTitle"/>
          <w:i w:val="0"/>
          <w:iCs w:val="0"/>
          <w:smallCaps w:val="0"/>
          <w:spacing w:val="0"/>
        </w:rPr>
        <w:t xml:space="preserve">of these organisations </w:t>
      </w:r>
      <w:r w:rsidR="005F09CF">
        <w:rPr>
          <w:rStyle w:val="BookTitle"/>
          <w:i w:val="0"/>
          <w:iCs w:val="0"/>
          <w:smallCaps w:val="0"/>
          <w:spacing w:val="0"/>
        </w:rPr>
        <w:t xml:space="preserve">to pay higher wages while at the same time </w:t>
      </w:r>
      <w:r w:rsidR="00B344AF">
        <w:rPr>
          <w:rStyle w:val="BookTitle"/>
          <w:i w:val="0"/>
          <w:iCs w:val="0"/>
          <w:smallCaps w:val="0"/>
          <w:spacing w:val="0"/>
        </w:rPr>
        <w:t>continuing</w:t>
      </w:r>
      <w:r w:rsidR="005F09CF">
        <w:rPr>
          <w:rStyle w:val="BookTitle"/>
          <w:i w:val="0"/>
          <w:iCs w:val="0"/>
          <w:smallCaps w:val="0"/>
          <w:spacing w:val="0"/>
        </w:rPr>
        <w:t xml:space="preserve"> to provide employment options to people with disability, especially those with high support needs</w:t>
      </w:r>
      <w:r w:rsidR="0072407E">
        <w:rPr>
          <w:rStyle w:val="BookTitle"/>
          <w:i w:val="0"/>
          <w:iCs w:val="0"/>
          <w:smallCaps w:val="0"/>
          <w:spacing w:val="0"/>
        </w:rPr>
        <w:t xml:space="preserve"> who are most at risk of unemployment and exclusion</w:t>
      </w:r>
      <w:r w:rsidR="005F09CF">
        <w:rPr>
          <w:rStyle w:val="BookTitle"/>
          <w:i w:val="0"/>
          <w:iCs w:val="0"/>
          <w:smallCaps w:val="0"/>
          <w:spacing w:val="0"/>
        </w:rPr>
        <w:t>.</w:t>
      </w:r>
    </w:p>
    <w:p w:rsidR="002B3C50" w:rsidRPr="00EC246B" w:rsidRDefault="002B3C50" w:rsidP="00C05D3D">
      <w:pPr>
        <w:pStyle w:val="ListParagraph"/>
        <w:ind w:left="426"/>
        <w:rPr>
          <w:rStyle w:val="BookTitle"/>
          <w:i w:val="0"/>
          <w:iCs w:val="0"/>
          <w:smallCaps w:val="0"/>
          <w:spacing w:val="0"/>
        </w:rPr>
      </w:pPr>
    </w:p>
    <w:p w:rsidR="002B3C50" w:rsidRDefault="002B3C50" w:rsidP="00BC5ED9">
      <w:pPr>
        <w:pStyle w:val="ListParagraph"/>
        <w:numPr>
          <w:ilvl w:val="0"/>
          <w:numId w:val="21"/>
        </w:numPr>
        <w:ind w:left="426" w:hanging="426"/>
        <w:rPr>
          <w:rStyle w:val="BookTitle"/>
          <w:b/>
          <w:i w:val="0"/>
          <w:iCs w:val="0"/>
          <w:smallCaps w:val="0"/>
          <w:spacing w:val="0"/>
        </w:rPr>
      </w:pPr>
      <w:r>
        <w:rPr>
          <w:rStyle w:val="BookTitle"/>
          <w:b/>
          <w:i w:val="0"/>
          <w:iCs w:val="0"/>
          <w:smallCaps w:val="0"/>
          <w:spacing w:val="0"/>
        </w:rPr>
        <w:t>Technical amendments to the exemption application</w:t>
      </w:r>
    </w:p>
    <w:p w:rsidR="002B3C50" w:rsidRDefault="002B3C50" w:rsidP="00BC5ED9">
      <w:pPr>
        <w:pStyle w:val="ListParagraph"/>
        <w:ind w:left="426"/>
        <w:rPr>
          <w:rStyle w:val="BookTitle"/>
          <w:b/>
          <w:i w:val="0"/>
          <w:iCs w:val="0"/>
          <w:smallCaps w:val="0"/>
          <w:spacing w:val="0"/>
        </w:rPr>
      </w:pPr>
    </w:p>
    <w:p w:rsidR="004D32C4" w:rsidRPr="004D32C4" w:rsidRDefault="004D32C4" w:rsidP="00BC5ED9">
      <w:pPr>
        <w:pStyle w:val="ListParagraph"/>
        <w:ind w:left="426"/>
        <w:rPr>
          <w:rStyle w:val="BookTitle"/>
          <w:i w:val="0"/>
          <w:iCs w:val="0"/>
          <w:smallCaps w:val="0"/>
          <w:spacing w:val="0"/>
        </w:rPr>
      </w:pPr>
      <w:r>
        <w:rPr>
          <w:rStyle w:val="BookTitle"/>
          <w:i w:val="0"/>
          <w:iCs w:val="0"/>
          <w:smallCaps w:val="0"/>
          <w:spacing w:val="0"/>
        </w:rPr>
        <w:t>T</w:t>
      </w:r>
      <w:r w:rsidR="001903A0">
        <w:rPr>
          <w:rStyle w:val="BookTitle"/>
          <w:i w:val="0"/>
          <w:iCs w:val="0"/>
          <w:smallCaps w:val="0"/>
          <w:spacing w:val="0"/>
        </w:rPr>
        <w:t>he exemption application</w:t>
      </w:r>
      <w:r>
        <w:rPr>
          <w:rStyle w:val="BookTitle"/>
          <w:i w:val="0"/>
          <w:iCs w:val="0"/>
          <w:smallCaps w:val="0"/>
          <w:spacing w:val="0"/>
        </w:rPr>
        <w:t xml:space="preserve"> stated: </w:t>
      </w:r>
    </w:p>
    <w:p w:rsidR="001903A0" w:rsidRPr="00BC5ED9" w:rsidRDefault="004D32C4" w:rsidP="00BC5ED9">
      <w:pPr>
        <w:pStyle w:val="IntenseQuote"/>
        <w:pBdr>
          <w:bottom w:val="none" w:sz="0" w:space="0" w:color="auto"/>
        </w:pBdr>
        <w:ind w:left="0"/>
        <w:rPr>
          <w:rStyle w:val="BookTitle"/>
          <w:i/>
          <w:iCs/>
          <w:smallCaps w:val="0"/>
          <w:spacing w:val="0"/>
        </w:rPr>
      </w:pPr>
      <w:r w:rsidRPr="00BC5ED9">
        <w:rPr>
          <w:rStyle w:val="IntenseEmphasis"/>
        </w:rPr>
        <w:t xml:space="preserve">We seek </w:t>
      </w:r>
      <w:r w:rsidR="001903A0" w:rsidRPr="00BC5ED9">
        <w:rPr>
          <w:rStyle w:val="IntenseEmphasis"/>
        </w:rPr>
        <w:t>an exemption for all existing ADEs from sections 15 and 24 of the DDA, and the Commonwealth (and officers of the Commonwealth) from section 29 for a period of three years.</w:t>
      </w:r>
    </w:p>
    <w:p w:rsidR="001903A0" w:rsidRPr="00BC5ED9" w:rsidRDefault="001903A0" w:rsidP="00BC5ED9">
      <w:pPr>
        <w:rPr>
          <w:rStyle w:val="BookTitle"/>
          <w:b/>
          <w:bCs/>
          <w:i w:val="0"/>
          <w:iCs w:val="0"/>
          <w:smallCaps w:val="0"/>
          <w:spacing w:val="0"/>
        </w:rPr>
      </w:pPr>
      <w:r w:rsidRPr="00BC5ED9">
        <w:rPr>
          <w:rStyle w:val="BookTitle"/>
          <w:i w:val="0"/>
          <w:iCs w:val="0"/>
          <w:smallCaps w:val="0"/>
          <w:spacing w:val="0"/>
        </w:rPr>
        <w:t>The Department seeks to amend the exemption application as follows</w:t>
      </w:r>
      <w:r w:rsidR="004D32C4" w:rsidRPr="00BC5ED9">
        <w:rPr>
          <w:rStyle w:val="BookTitle"/>
          <w:i w:val="0"/>
          <w:iCs w:val="0"/>
          <w:smallCaps w:val="0"/>
          <w:spacing w:val="0"/>
        </w:rPr>
        <w:t xml:space="preserve"> (and as </w:t>
      </w:r>
      <w:r w:rsidR="004D32C4" w:rsidRPr="00BC5ED9">
        <w:rPr>
          <w:rStyle w:val="BookTitle"/>
          <w:i w:val="0"/>
          <w:iCs w:val="0"/>
          <w:smallCaps w:val="0"/>
          <w:spacing w:val="0"/>
          <w:u w:val="single"/>
        </w:rPr>
        <w:t>underlined</w:t>
      </w:r>
      <w:r w:rsidR="004D32C4" w:rsidRPr="00BC5ED9">
        <w:rPr>
          <w:rStyle w:val="BookTitle"/>
          <w:i w:val="0"/>
          <w:iCs w:val="0"/>
          <w:smallCaps w:val="0"/>
          <w:spacing w:val="0"/>
        </w:rPr>
        <w:t>)</w:t>
      </w:r>
      <w:r w:rsidRPr="00BC5ED9">
        <w:rPr>
          <w:rStyle w:val="BookTitle"/>
          <w:i w:val="0"/>
          <w:iCs w:val="0"/>
          <w:smallCaps w:val="0"/>
          <w:spacing w:val="0"/>
        </w:rPr>
        <w:t>:</w:t>
      </w:r>
    </w:p>
    <w:p w:rsidR="00BC5ED9" w:rsidRPr="00BC5ED9" w:rsidRDefault="004D32C4" w:rsidP="00BC5ED9">
      <w:pPr>
        <w:pStyle w:val="IntenseQuote"/>
        <w:pBdr>
          <w:bottom w:val="none" w:sz="0" w:space="0" w:color="auto"/>
        </w:pBdr>
        <w:ind w:left="0"/>
        <w:rPr>
          <w:b w:val="0"/>
          <w:bCs w:val="0"/>
          <w:i w:val="0"/>
        </w:rPr>
      </w:pPr>
      <w:r w:rsidRPr="00FC2DEA">
        <w:rPr>
          <w:rStyle w:val="IntenseEmphasis"/>
          <w:i w:val="0"/>
        </w:rPr>
        <w:t>We seek an exemption for all existing ADEs from sections 15</w:t>
      </w:r>
      <w:r>
        <w:rPr>
          <w:rStyle w:val="IntenseEmphasis"/>
          <w:i w:val="0"/>
        </w:rPr>
        <w:t>,</w:t>
      </w:r>
      <w:r w:rsidRPr="00FC2DEA">
        <w:rPr>
          <w:rStyle w:val="IntenseEmphasis"/>
          <w:i w:val="0"/>
        </w:rPr>
        <w:t xml:space="preserve"> 24 </w:t>
      </w:r>
      <w:r w:rsidRPr="004D32C4">
        <w:rPr>
          <w:rStyle w:val="IntenseEmphasis"/>
          <w:i w:val="0"/>
          <w:u w:val="single"/>
        </w:rPr>
        <w:t>and 29</w:t>
      </w:r>
      <w:r>
        <w:rPr>
          <w:rStyle w:val="IntenseEmphasis"/>
          <w:i w:val="0"/>
        </w:rPr>
        <w:t xml:space="preserve"> </w:t>
      </w:r>
      <w:r w:rsidRPr="00FC2DEA">
        <w:rPr>
          <w:rStyle w:val="IntenseEmphasis"/>
          <w:i w:val="0"/>
        </w:rPr>
        <w:t>of the DDA, and the Commonwealth (and officers of the Commonwealth) from section</w:t>
      </w:r>
      <w:r>
        <w:rPr>
          <w:rStyle w:val="IntenseEmphasis"/>
          <w:i w:val="0"/>
          <w:u w:val="single"/>
        </w:rPr>
        <w:t xml:space="preserve">s </w:t>
      </w:r>
      <w:r w:rsidR="00E92258">
        <w:rPr>
          <w:rStyle w:val="IntenseEmphasis"/>
          <w:i w:val="0"/>
          <w:u w:val="single"/>
        </w:rPr>
        <w:t xml:space="preserve">15, 24, </w:t>
      </w:r>
      <w:r w:rsidRPr="00FC2DEA">
        <w:rPr>
          <w:rStyle w:val="IntenseEmphasis"/>
          <w:i w:val="0"/>
        </w:rPr>
        <w:t>29</w:t>
      </w:r>
      <w:r>
        <w:rPr>
          <w:rStyle w:val="IntenseEmphasis"/>
          <w:i w:val="0"/>
        </w:rPr>
        <w:t xml:space="preserve"> </w:t>
      </w:r>
      <w:r w:rsidR="00E92258">
        <w:rPr>
          <w:rStyle w:val="IntenseEmphasis"/>
          <w:i w:val="0"/>
          <w:u w:val="single"/>
        </w:rPr>
        <w:t xml:space="preserve">and 122 </w:t>
      </w:r>
      <w:r>
        <w:rPr>
          <w:rStyle w:val="IntenseEmphasis"/>
          <w:i w:val="0"/>
          <w:u w:val="single"/>
        </w:rPr>
        <w:t>of the DDA</w:t>
      </w:r>
      <w:r w:rsidRPr="00FC2DEA">
        <w:rPr>
          <w:rStyle w:val="IntenseEmphasis"/>
          <w:i w:val="0"/>
        </w:rPr>
        <w:t xml:space="preserve"> for a period of three years.</w:t>
      </w:r>
    </w:p>
    <w:p w:rsidR="008856B7" w:rsidRPr="002B3C50" w:rsidRDefault="00092B12" w:rsidP="00BC5ED9">
      <w:pPr>
        <w:pStyle w:val="ListParagraph"/>
        <w:ind w:left="426"/>
        <w:rPr>
          <w:rStyle w:val="BookTitle"/>
          <w:b/>
          <w:bCs/>
          <w:i w:val="0"/>
          <w:iCs w:val="0"/>
          <w:smallCaps w:val="0"/>
          <w:spacing w:val="0"/>
        </w:rPr>
      </w:pPr>
      <w:r>
        <w:rPr>
          <w:rStyle w:val="BookTitle"/>
          <w:i w:val="0"/>
          <w:iCs w:val="0"/>
          <w:smallCaps w:val="0"/>
          <w:spacing w:val="0"/>
        </w:rPr>
        <w:t>Since the filing of the representative proceeding (</w:t>
      </w:r>
      <w:r>
        <w:rPr>
          <w:rStyle w:val="BookTitle"/>
          <w:iCs w:val="0"/>
          <w:smallCaps w:val="0"/>
          <w:spacing w:val="0"/>
        </w:rPr>
        <w:t>Tyson Duval-</w:t>
      </w:r>
      <w:proofErr w:type="spellStart"/>
      <w:r>
        <w:rPr>
          <w:rStyle w:val="BookTitle"/>
          <w:iCs w:val="0"/>
          <w:smallCaps w:val="0"/>
          <w:spacing w:val="0"/>
        </w:rPr>
        <w:t>Comrie</w:t>
      </w:r>
      <w:proofErr w:type="spellEnd"/>
      <w:r>
        <w:rPr>
          <w:rStyle w:val="BookTitle"/>
          <w:iCs w:val="0"/>
          <w:smallCaps w:val="0"/>
          <w:spacing w:val="0"/>
        </w:rPr>
        <w:t xml:space="preserve"> v Commonwealth of Australia </w:t>
      </w:r>
      <w:r>
        <w:rPr>
          <w:rStyle w:val="BookTitle"/>
          <w:i w:val="0"/>
          <w:iCs w:val="0"/>
          <w:smallCaps w:val="0"/>
          <w:spacing w:val="0"/>
        </w:rPr>
        <w:t xml:space="preserve">(VID 1367 of 2013)), it has become apparent that the potential claims </w:t>
      </w:r>
      <w:r w:rsidR="00E92258">
        <w:rPr>
          <w:rStyle w:val="BookTitle"/>
          <w:i w:val="0"/>
          <w:iCs w:val="0"/>
          <w:smallCaps w:val="0"/>
          <w:spacing w:val="0"/>
        </w:rPr>
        <w:t xml:space="preserve">alleging unlawful discrimination </w:t>
      </w:r>
      <w:r>
        <w:rPr>
          <w:rStyle w:val="BookTitle"/>
          <w:i w:val="0"/>
          <w:iCs w:val="0"/>
          <w:smallCaps w:val="0"/>
          <w:spacing w:val="0"/>
        </w:rPr>
        <w:t>that may be made against ADEs and the Commonwealth</w:t>
      </w:r>
      <w:r w:rsidR="00E92258">
        <w:rPr>
          <w:rStyle w:val="BookTitle"/>
          <w:i w:val="0"/>
          <w:iCs w:val="0"/>
          <w:smallCaps w:val="0"/>
          <w:spacing w:val="0"/>
        </w:rPr>
        <w:t xml:space="preserve"> in relation to the use of the BSWAT may</w:t>
      </w:r>
      <w:r>
        <w:rPr>
          <w:rStyle w:val="BookTitle"/>
          <w:i w:val="0"/>
          <w:iCs w:val="0"/>
          <w:smallCaps w:val="0"/>
          <w:spacing w:val="0"/>
        </w:rPr>
        <w:t xml:space="preserve"> extend beyond those originally contemplated in the exemption application.</w:t>
      </w:r>
      <w:r w:rsidR="00E92258">
        <w:rPr>
          <w:rStyle w:val="BookTitle"/>
          <w:i w:val="0"/>
          <w:iCs w:val="0"/>
          <w:smallCaps w:val="0"/>
          <w:spacing w:val="0"/>
        </w:rPr>
        <w:t xml:space="preserve"> Accordingly, the Department makes this technical amendment to the exemption application to ensure that, should the application be granted, th</w:t>
      </w:r>
      <w:r w:rsidR="005655CA">
        <w:rPr>
          <w:rStyle w:val="BookTitle"/>
          <w:i w:val="0"/>
          <w:iCs w:val="0"/>
          <w:smallCaps w:val="0"/>
          <w:spacing w:val="0"/>
        </w:rPr>
        <w:t>ere are no gaps in the coverage of the exemption.</w:t>
      </w:r>
      <w:r w:rsidR="008856B7" w:rsidRPr="002B3C50">
        <w:rPr>
          <w:rStyle w:val="BookTitle"/>
          <w:b/>
          <w:i w:val="0"/>
          <w:iCs w:val="0"/>
          <w:smallCaps w:val="0"/>
          <w:spacing w:val="0"/>
        </w:rPr>
        <w:br w:type="page"/>
      </w:r>
    </w:p>
    <w:p w:rsidR="002B3C50" w:rsidRDefault="002B3C50" w:rsidP="00BC5ED9">
      <w:pPr>
        <w:pStyle w:val="ListParagraph"/>
        <w:numPr>
          <w:ilvl w:val="0"/>
          <w:numId w:val="21"/>
        </w:numPr>
        <w:ind w:left="426" w:hanging="426"/>
        <w:rPr>
          <w:rStyle w:val="BookTitle"/>
          <w:b/>
          <w:i w:val="0"/>
          <w:iCs w:val="0"/>
          <w:smallCaps w:val="0"/>
          <w:spacing w:val="0"/>
        </w:rPr>
      </w:pPr>
    </w:p>
    <w:p w:rsidR="008856B7" w:rsidRDefault="008856B7" w:rsidP="008856B7">
      <w:pPr>
        <w:ind w:left="7200"/>
        <w:rPr>
          <w:rFonts w:ascii="Verdana" w:hAnsi="Verdana"/>
          <w:b/>
          <w:bCs/>
          <w:color w:val="333333"/>
          <w:sz w:val="18"/>
          <w:szCs w:val="18"/>
          <w:lang w:eastAsia="en-AU"/>
        </w:rPr>
      </w:pPr>
      <w:r>
        <w:rPr>
          <w:rFonts w:ascii="Verdana" w:hAnsi="Verdana"/>
          <w:b/>
          <w:bCs/>
          <w:color w:val="333333"/>
          <w:sz w:val="18"/>
          <w:szCs w:val="18"/>
          <w:lang w:eastAsia="en-AU"/>
        </w:rPr>
        <w:t>ATTACHMENT</w:t>
      </w:r>
      <w:r w:rsidR="00C1083E">
        <w:rPr>
          <w:rFonts w:ascii="Verdana" w:hAnsi="Verdana"/>
          <w:b/>
          <w:bCs/>
          <w:color w:val="333333"/>
          <w:sz w:val="18"/>
          <w:szCs w:val="18"/>
          <w:lang w:eastAsia="en-AU"/>
        </w:rPr>
        <w:t xml:space="preserve"> A</w:t>
      </w:r>
    </w:p>
    <w:p w:rsidR="00C1083E" w:rsidRDefault="00C1083E" w:rsidP="008856B7">
      <w:pPr>
        <w:rPr>
          <w:rFonts w:ascii="Verdana" w:hAnsi="Verdana"/>
          <w:b/>
          <w:bCs/>
          <w:color w:val="333333"/>
          <w:sz w:val="18"/>
          <w:szCs w:val="18"/>
          <w:lang w:eastAsia="en-AU"/>
        </w:rPr>
      </w:pPr>
      <w:r>
        <w:rPr>
          <w:rFonts w:ascii="Verdana" w:hAnsi="Verdana"/>
          <w:b/>
          <w:bCs/>
          <w:color w:val="333333"/>
          <w:sz w:val="18"/>
          <w:szCs w:val="18"/>
          <w:lang w:eastAsia="en-AU"/>
        </w:rPr>
        <w:t xml:space="preserve">Extract from the </w:t>
      </w:r>
      <w:r w:rsidRPr="00C1083E">
        <w:rPr>
          <w:rFonts w:ascii="Verdana" w:hAnsi="Verdana"/>
          <w:b/>
          <w:bCs/>
          <w:color w:val="333333"/>
          <w:sz w:val="18"/>
          <w:szCs w:val="18"/>
          <w:lang w:eastAsia="en-AU"/>
        </w:rPr>
        <w:t>Supported Employment Services Modern Award 2010</w:t>
      </w:r>
      <w:r>
        <w:rPr>
          <w:rFonts w:ascii="Verdana" w:hAnsi="Verdana"/>
          <w:b/>
          <w:bCs/>
          <w:color w:val="333333"/>
          <w:sz w:val="18"/>
          <w:szCs w:val="18"/>
          <w:lang w:eastAsia="en-AU"/>
        </w:rPr>
        <w:t>:</w:t>
      </w:r>
    </w:p>
    <w:p w:rsidR="008856B7" w:rsidRDefault="008856B7" w:rsidP="008856B7">
      <w:pPr>
        <w:rPr>
          <w:rFonts w:ascii="Verdana" w:hAnsi="Verdana" w:cs="Calibri"/>
          <w:color w:val="333333"/>
          <w:sz w:val="18"/>
          <w:szCs w:val="18"/>
          <w:lang w:eastAsia="en-AU"/>
        </w:rPr>
      </w:pPr>
      <w:r>
        <w:rPr>
          <w:rFonts w:ascii="Verdana" w:hAnsi="Verdana"/>
          <w:b/>
          <w:bCs/>
          <w:color w:val="333333"/>
          <w:sz w:val="18"/>
          <w:szCs w:val="18"/>
          <w:lang w:eastAsia="en-AU"/>
        </w:rPr>
        <w:t>14.4 Wage assessment—employees with a disability</w:t>
      </w:r>
    </w:p>
    <w:p w:rsidR="008856B7" w:rsidRDefault="008856B7" w:rsidP="008856B7">
      <w:pPr>
        <w:spacing w:before="240" w:after="180" w:line="336" w:lineRule="atLeast"/>
        <w:ind w:left="1140" w:right="300"/>
        <w:rPr>
          <w:rFonts w:ascii="Verdana" w:hAnsi="Verdana"/>
          <w:color w:val="333333"/>
          <w:sz w:val="18"/>
          <w:szCs w:val="18"/>
          <w:lang w:eastAsia="en-AU"/>
        </w:rPr>
      </w:pPr>
      <w:bookmarkStart w:id="1" w:name="P320_27656"/>
      <w:bookmarkEnd w:id="1"/>
      <w:r>
        <w:rPr>
          <w:rFonts w:ascii="Verdana" w:hAnsi="Verdana"/>
          <w:b/>
          <w:bCs/>
          <w:color w:val="333333"/>
          <w:sz w:val="18"/>
          <w:szCs w:val="18"/>
          <w:lang w:eastAsia="en-AU"/>
        </w:rPr>
        <w:t>(a)</w:t>
      </w:r>
      <w:r>
        <w:rPr>
          <w:rFonts w:ascii="Verdana" w:hAnsi="Verdana"/>
          <w:color w:val="333333"/>
          <w:sz w:val="18"/>
          <w:szCs w:val="18"/>
          <w:lang w:eastAsia="en-AU"/>
        </w:rPr>
        <w:t xml:space="preserve"> An employee with a disability will be paid such percentage of the rate of pay of the relevant grade in clause </w:t>
      </w:r>
      <w:hyperlink r:id="rId9" w:anchor="P287_27135" w:history="1">
        <w:r>
          <w:rPr>
            <w:rStyle w:val="Hyperlink"/>
            <w:rFonts w:ascii="Verdana" w:hAnsi="Verdana"/>
            <w:sz w:val="18"/>
            <w:szCs w:val="18"/>
            <w:lang w:eastAsia="en-AU"/>
          </w:rPr>
          <w:t>14.2</w:t>
        </w:r>
      </w:hyperlink>
      <w:r>
        <w:rPr>
          <w:rFonts w:ascii="Verdana" w:hAnsi="Verdana"/>
          <w:color w:val="333333"/>
          <w:sz w:val="18"/>
          <w:szCs w:val="18"/>
          <w:lang w:eastAsia="en-AU"/>
        </w:rPr>
        <w:t xml:space="preserve"> as assessed under an approved wage assessment tool chosen by a supported employment service.</w:t>
      </w:r>
    </w:p>
    <w:p w:rsidR="008856B7" w:rsidRDefault="008856B7" w:rsidP="008856B7">
      <w:pPr>
        <w:spacing w:before="240" w:after="180" w:line="336" w:lineRule="atLeast"/>
        <w:ind w:left="1140" w:right="300"/>
        <w:rPr>
          <w:rFonts w:ascii="Verdana" w:hAnsi="Verdana"/>
          <w:color w:val="333333"/>
          <w:sz w:val="18"/>
          <w:szCs w:val="18"/>
          <w:lang w:eastAsia="en-AU"/>
        </w:rPr>
      </w:pPr>
      <w:r>
        <w:rPr>
          <w:rFonts w:ascii="Verdana" w:hAnsi="Verdana"/>
          <w:b/>
          <w:bCs/>
          <w:color w:val="333333"/>
          <w:sz w:val="18"/>
          <w:szCs w:val="18"/>
          <w:lang w:eastAsia="en-AU"/>
        </w:rPr>
        <w:t>(b)</w:t>
      </w:r>
      <w:r>
        <w:rPr>
          <w:rFonts w:ascii="Verdana" w:hAnsi="Verdana"/>
          <w:color w:val="333333"/>
          <w:sz w:val="18"/>
          <w:szCs w:val="18"/>
          <w:lang w:eastAsia="en-AU"/>
        </w:rPr>
        <w:t xml:space="preserve"> For the purposes of this clause, an </w:t>
      </w:r>
      <w:r>
        <w:rPr>
          <w:rFonts w:ascii="Verdana" w:hAnsi="Verdana"/>
          <w:b/>
          <w:bCs/>
          <w:color w:val="333333"/>
          <w:sz w:val="18"/>
          <w:szCs w:val="18"/>
          <w:lang w:eastAsia="en-AU"/>
        </w:rPr>
        <w:t>approved wage assessment tool</w:t>
      </w:r>
      <w:r>
        <w:rPr>
          <w:rFonts w:ascii="Verdana" w:hAnsi="Verdana"/>
          <w:color w:val="333333"/>
          <w:sz w:val="18"/>
          <w:szCs w:val="18"/>
          <w:lang w:eastAsia="en-AU"/>
        </w:rPr>
        <w:t xml:space="preserve"> means and is limited to:</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2" w:name="P322_27959"/>
      <w:bookmarkEnd w:id="2"/>
      <w:r>
        <w:rPr>
          <w:rFonts w:ascii="Verdana" w:hAnsi="Verdana"/>
          <w:b/>
          <w:bCs/>
          <w:color w:val="333333"/>
          <w:sz w:val="18"/>
          <w:szCs w:val="18"/>
          <w:lang w:eastAsia="en-AU"/>
        </w:rPr>
        <w:t>(i)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Supported Wage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Business Services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Civic Industries Supported Employees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Elouera Association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FWS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Greenacres Association Competency Based Wages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Hunter Contracts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Phoenix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PHT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Skillsmaster</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Yumaro</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Woorinyan</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RVIB Enterprises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Koomarri</w:t>
      </w:r>
      <w:proofErr w:type="spellEnd"/>
      <w:r>
        <w:rPr>
          <w:rFonts w:ascii="Verdana" w:hAnsi="Verdana"/>
          <w:color w:val="333333"/>
          <w:sz w:val="18"/>
          <w:szCs w:val="18"/>
          <w:lang w:eastAsia="en-AU"/>
        </w:rPr>
        <w:t xml:space="preserve"> Competency Based Wages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Valmar</w:t>
      </w:r>
      <w:proofErr w:type="spellEnd"/>
      <w:r>
        <w:rPr>
          <w:rFonts w:ascii="Verdana" w:hAnsi="Verdana"/>
          <w:color w:val="333333"/>
          <w:sz w:val="18"/>
          <w:szCs w:val="18"/>
          <w:lang w:eastAsia="en-AU"/>
        </w:rPr>
        <w:t xml:space="preserve"> Support Services Wage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(xvi)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Sunnyfield</w:t>
      </w:r>
      <w:proofErr w:type="spellEnd"/>
      <w:r>
        <w:rPr>
          <w:rFonts w:ascii="Verdana" w:hAnsi="Verdana"/>
          <w:color w:val="333333"/>
          <w:sz w:val="18"/>
          <w:szCs w:val="18"/>
          <w:lang w:eastAsia="en-AU"/>
        </w:rPr>
        <w:t xml:space="preserve"> Association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(xvii)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New Horizons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lastRenderedPageBreak/>
        <w:t>(xviii)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Cumberland Industries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Endeavour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Wangarang</w:t>
      </w:r>
      <w:proofErr w:type="spellEnd"/>
      <w:r>
        <w:rPr>
          <w:rFonts w:ascii="Verdana" w:hAnsi="Verdana"/>
          <w:color w:val="333333"/>
          <w:sz w:val="18"/>
          <w:szCs w:val="18"/>
          <w:lang w:eastAsia="en-AU"/>
        </w:rPr>
        <w:t xml:space="preserve"> Industries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Bedford Employee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3" w:name="P343_28912"/>
      <w:bookmarkEnd w:id="3"/>
      <w:r>
        <w:rPr>
          <w:rFonts w:ascii="Verdana" w:hAnsi="Verdana"/>
          <w:b/>
          <w:bCs/>
          <w:color w:val="333333"/>
          <w:sz w:val="18"/>
          <w:szCs w:val="18"/>
          <w:lang w:eastAsia="en-AU"/>
        </w:rPr>
        <w:t>(xxii)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Blue Mountains Employment Services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4" w:name="P344_28979"/>
      <w:bookmarkEnd w:id="4"/>
      <w:r>
        <w:rPr>
          <w:rFonts w:ascii="Verdana" w:hAnsi="Verdana"/>
          <w:b/>
          <w:bCs/>
          <w:color w:val="333333"/>
          <w:sz w:val="18"/>
          <w:szCs w:val="18"/>
          <w:lang w:eastAsia="en-AU"/>
        </w:rPr>
        <w:t>(xxiii)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Ability Options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(xxiv)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Blueline</w:t>
      </w:r>
      <w:proofErr w:type="spellEnd"/>
      <w:r>
        <w:rPr>
          <w:rFonts w:ascii="Verdana" w:hAnsi="Verdana"/>
          <w:color w:val="333333"/>
          <w:sz w:val="18"/>
          <w:szCs w:val="18"/>
          <w:lang w:eastAsia="en-AU"/>
        </w:rPr>
        <w:t xml:space="preserve"> Laundry </w:t>
      </w:r>
      <w:proofErr w:type="spellStart"/>
      <w:r>
        <w:rPr>
          <w:rFonts w:ascii="Verdana" w:hAnsi="Verdana"/>
          <w:color w:val="333333"/>
          <w:sz w:val="18"/>
          <w:szCs w:val="18"/>
          <w:lang w:eastAsia="en-AU"/>
        </w:rPr>
        <w:t>Inc</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Caloola</w:t>
      </w:r>
      <w:proofErr w:type="spellEnd"/>
      <w:r>
        <w:rPr>
          <w:rFonts w:ascii="Verdana" w:hAnsi="Verdana"/>
          <w:color w:val="333333"/>
          <w:sz w:val="18"/>
          <w:szCs w:val="18"/>
          <w:lang w:eastAsia="en-AU"/>
        </w:rPr>
        <w:t xml:space="preserve"> Vocational Services </w:t>
      </w:r>
      <w:proofErr w:type="spellStart"/>
      <w:r>
        <w:rPr>
          <w:rFonts w:ascii="Verdana" w:hAnsi="Verdana"/>
          <w:color w:val="333333"/>
          <w:sz w:val="18"/>
          <w:szCs w:val="18"/>
          <w:lang w:eastAsia="en-AU"/>
        </w:rPr>
        <w:t>Inc</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GDP Industries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Kurri Contracting Service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Mai-</w:t>
      </w:r>
      <w:proofErr w:type="spellStart"/>
      <w:r>
        <w:rPr>
          <w:rFonts w:ascii="Verdana" w:hAnsi="Verdana"/>
          <w:color w:val="333333"/>
          <w:sz w:val="18"/>
          <w:szCs w:val="18"/>
          <w:lang w:eastAsia="en-AU"/>
        </w:rPr>
        <w:t>Wel</w:t>
      </w:r>
      <w:proofErr w:type="spellEnd"/>
      <w:r>
        <w:rPr>
          <w:rFonts w:ascii="Verdana" w:hAnsi="Verdana"/>
          <w:color w:val="333333"/>
          <w:sz w:val="18"/>
          <w:szCs w:val="18"/>
          <w:lang w:eastAsia="en-AU"/>
        </w:rPr>
        <w:t xml:space="preserve"> Group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(xxix)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Merriwa Industries Limited Wage Assessment Tool; and</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5" w:name="P351_29354"/>
      <w:bookmarkEnd w:id="5"/>
      <w:r>
        <w:rPr>
          <w:rFonts w:ascii="Verdana" w:hAnsi="Verdana"/>
          <w:b/>
          <w:bCs/>
          <w:color w:val="333333"/>
          <w:sz w:val="18"/>
          <w:szCs w:val="18"/>
          <w:lang w:eastAsia="en-AU"/>
        </w:rPr>
        <w:t>(xxx)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Waverley Helpmates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color w:val="333333"/>
          <w:sz w:val="18"/>
          <w:szCs w:val="18"/>
          <w:lang w:eastAsia="en-AU"/>
        </w:rPr>
        <w:t>* Wage Assessment Tools restricted to those specific organisations unless an employer was using that tool on or before 27 June 2005.</w:t>
      </w:r>
    </w:p>
    <w:p w:rsidR="008856B7" w:rsidRPr="008856B7" w:rsidRDefault="008856B7" w:rsidP="008856B7">
      <w:pPr>
        <w:rPr>
          <w:rStyle w:val="BookTitle"/>
          <w:b/>
          <w:i w:val="0"/>
          <w:iCs w:val="0"/>
          <w:smallCaps w:val="0"/>
          <w:spacing w:val="0"/>
        </w:rPr>
      </w:pPr>
    </w:p>
    <w:sectPr w:rsidR="008856B7" w:rsidRPr="008856B7">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C52E0" w15:done="0"/>
  <w15:commentEx w15:paraId="20542B40" w15:done="0"/>
  <w15:commentEx w15:paraId="580C01DA" w15:done="0"/>
  <w15:commentEx w15:paraId="5FAFEC99" w15:done="0"/>
  <w15:commentEx w15:paraId="5774AC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AA" w:rsidRDefault="008F51AA" w:rsidP="00705B93">
      <w:pPr>
        <w:spacing w:after="0" w:line="240" w:lineRule="auto"/>
      </w:pPr>
      <w:r>
        <w:separator/>
      </w:r>
    </w:p>
  </w:endnote>
  <w:endnote w:type="continuationSeparator" w:id="0">
    <w:p w:rsidR="008F51AA" w:rsidRDefault="008F51AA" w:rsidP="0070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58551"/>
      <w:docPartObj>
        <w:docPartGallery w:val="Page Numbers (Bottom of Page)"/>
        <w:docPartUnique/>
      </w:docPartObj>
    </w:sdtPr>
    <w:sdtEndPr>
      <w:rPr>
        <w:noProof/>
      </w:rPr>
    </w:sdtEndPr>
    <w:sdtContent>
      <w:p w:rsidR="00705B93" w:rsidRDefault="00705B93">
        <w:pPr>
          <w:pStyle w:val="Footer"/>
          <w:jc w:val="right"/>
        </w:pPr>
        <w:r>
          <w:fldChar w:fldCharType="begin"/>
        </w:r>
        <w:r>
          <w:instrText xml:space="preserve"> PAGE   \* MERGEFORMAT </w:instrText>
        </w:r>
        <w:r>
          <w:fldChar w:fldCharType="separate"/>
        </w:r>
        <w:r w:rsidR="00E761DE">
          <w:rPr>
            <w:noProof/>
          </w:rPr>
          <w:t>1</w:t>
        </w:r>
        <w:r>
          <w:rPr>
            <w:noProof/>
          </w:rPr>
          <w:fldChar w:fldCharType="end"/>
        </w:r>
      </w:p>
    </w:sdtContent>
  </w:sdt>
  <w:p w:rsidR="00705B93" w:rsidRDefault="00705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AA" w:rsidRDefault="008F51AA" w:rsidP="00705B93">
      <w:pPr>
        <w:spacing w:after="0" w:line="240" w:lineRule="auto"/>
      </w:pPr>
      <w:r>
        <w:separator/>
      </w:r>
    </w:p>
  </w:footnote>
  <w:footnote w:type="continuationSeparator" w:id="0">
    <w:p w:rsidR="008F51AA" w:rsidRDefault="008F51AA" w:rsidP="00705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D97"/>
    <w:multiLevelType w:val="hybridMultilevel"/>
    <w:tmpl w:val="0F7ED3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C94360D"/>
    <w:multiLevelType w:val="hybridMultilevel"/>
    <w:tmpl w:val="11487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CE63C8"/>
    <w:multiLevelType w:val="hybridMultilevel"/>
    <w:tmpl w:val="55DA077C"/>
    <w:lvl w:ilvl="0" w:tplc="120485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C06F3F"/>
    <w:multiLevelType w:val="hybridMultilevel"/>
    <w:tmpl w:val="1ADE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A341B0"/>
    <w:multiLevelType w:val="hybridMultilevel"/>
    <w:tmpl w:val="6534D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0E2EF0"/>
    <w:multiLevelType w:val="hybridMultilevel"/>
    <w:tmpl w:val="447E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115764"/>
    <w:multiLevelType w:val="hybridMultilevel"/>
    <w:tmpl w:val="DBB0A4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nsid w:val="2F841B2E"/>
    <w:multiLevelType w:val="hybridMultilevel"/>
    <w:tmpl w:val="B9C4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45615D"/>
    <w:multiLevelType w:val="hybridMultilevel"/>
    <w:tmpl w:val="E31EB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6800DD6"/>
    <w:multiLevelType w:val="hybridMultilevel"/>
    <w:tmpl w:val="18DAA4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nsid w:val="3AFE530F"/>
    <w:multiLevelType w:val="hybridMultilevel"/>
    <w:tmpl w:val="5E16E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C47E5B"/>
    <w:multiLevelType w:val="hybridMultilevel"/>
    <w:tmpl w:val="286E8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095257"/>
    <w:multiLevelType w:val="hybridMultilevel"/>
    <w:tmpl w:val="58CAC4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440A6FEB"/>
    <w:multiLevelType w:val="hybridMultilevel"/>
    <w:tmpl w:val="7218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492306"/>
    <w:multiLevelType w:val="hybridMultilevel"/>
    <w:tmpl w:val="EB68B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586EEB"/>
    <w:multiLevelType w:val="hybridMultilevel"/>
    <w:tmpl w:val="DD12B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F1A5A91"/>
    <w:multiLevelType w:val="hybridMultilevel"/>
    <w:tmpl w:val="4E8CE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nsid w:val="537D22C1"/>
    <w:multiLevelType w:val="hybridMultilevel"/>
    <w:tmpl w:val="FFC487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B50D7E"/>
    <w:multiLevelType w:val="hybridMultilevel"/>
    <w:tmpl w:val="9118F0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nsid w:val="5C4C19B1"/>
    <w:multiLevelType w:val="hybridMultilevel"/>
    <w:tmpl w:val="9B208C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7A6211"/>
    <w:multiLevelType w:val="hybridMultilevel"/>
    <w:tmpl w:val="D7C4F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01713A7"/>
    <w:multiLevelType w:val="hybridMultilevel"/>
    <w:tmpl w:val="FDDEBFC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BE0503"/>
    <w:multiLevelType w:val="hybridMultilevel"/>
    <w:tmpl w:val="FE34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22D49"/>
    <w:multiLevelType w:val="hybridMultilevel"/>
    <w:tmpl w:val="EB326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833322"/>
    <w:multiLevelType w:val="hybridMultilevel"/>
    <w:tmpl w:val="B5E4780C"/>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4257B8D"/>
    <w:multiLevelType w:val="hybridMultilevel"/>
    <w:tmpl w:val="455E77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20"/>
  </w:num>
  <w:num w:numId="4">
    <w:abstractNumId w:val="4"/>
  </w:num>
  <w:num w:numId="5">
    <w:abstractNumId w:val="19"/>
  </w:num>
  <w:num w:numId="6">
    <w:abstractNumId w:val="18"/>
  </w:num>
  <w:num w:numId="7">
    <w:abstractNumId w:val="5"/>
  </w:num>
  <w:num w:numId="8">
    <w:abstractNumId w:val="11"/>
  </w:num>
  <w:num w:numId="9">
    <w:abstractNumId w:val="6"/>
  </w:num>
  <w:num w:numId="10">
    <w:abstractNumId w:val="22"/>
  </w:num>
  <w:num w:numId="11">
    <w:abstractNumId w:val="13"/>
  </w:num>
  <w:num w:numId="12">
    <w:abstractNumId w:val="16"/>
  </w:num>
  <w:num w:numId="13">
    <w:abstractNumId w:val="25"/>
  </w:num>
  <w:num w:numId="14">
    <w:abstractNumId w:val="8"/>
  </w:num>
  <w:num w:numId="15">
    <w:abstractNumId w:val="17"/>
  </w:num>
  <w:num w:numId="16">
    <w:abstractNumId w:val="3"/>
  </w:num>
  <w:num w:numId="17">
    <w:abstractNumId w:val="1"/>
  </w:num>
  <w:num w:numId="18">
    <w:abstractNumId w:val="7"/>
  </w:num>
  <w:num w:numId="19">
    <w:abstractNumId w:val="23"/>
  </w:num>
  <w:num w:numId="20">
    <w:abstractNumId w:val="14"/>
  </w:num>
  <w:num w:numId="21">
    <w:abstractNumId w:val="15"/>
  </w:num>
  <w:num w:numId="22">
    <w:abstractNumId w:val="12"/>
  </w:num>
  <w:num w:numId="23">
    <w:abstractNumId w:val="24"/>
  </w:num>
  <w:num w:numId="24">
    <w:abstractNumId w:val="2"/>
  </w:num>
  <w:num w:numId="25">
    <w:abstractNumId w:val="9"/>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ker, Paul">
    <w15:presenceInfo w15:providerId="None" w15:userId="Barker,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AC"/>
    <w:rsid w:val="000030C9"/>
    <w:rsid w:val="00006850"/>
    <w:rsid w:val="000154B0"/>
    <w:rsid w:val="00026F46"/>
    <w:rsid w:val="000454C8"/>
    <w:rsid w:val="0005099E"/>
    <w:rsid w:val="000608E3"/>
    <w:rsid w:val="00062F71"/>
    <w:rsid w:val="00067306"/>
    <w:rsid w:val="00075890"/>
    <w:rsid w:val="00077045"/>
    <w:rsid w:val="00082286"/>
    <w:rsid w:val="00092B12"/>
    <w:rsid w:val="000A578C"/>
    <w:rsid w:val="000C023B"/>
    <w:rsid w:val="000E20CB"/>
    <w:rsid w:val="000F1477"/>
    <w:rsid w:val="000F1805"/>
    <w:rsid w:val="00102ECC"/>
    <w:rsid w:val="0011052E"/>
    <w:rsid w:val="001155E3"/>
    <w:rsid w:val="0011791E"/>
    <w:rsid w:val="00141C22"/>
    <w:rsid w:val="00146635"/>
    <w:rsid w:val="00156E9C"/>
    <w:rsid w:val="00162DF0"/>
    <w:rsid w:val="001903A0"/>
    <w:rsid w:val="001A03B8"/>
    <w:rsid w:val="001B7411"/>
    <w:rsid w:val="001B7CC3"/>
    <w:rsid w:val="001C324A"/>
    <w:rsid w:val="001D11D3"/>
    <w:rsid w:val="001E56B1"/>
    <w:rsid w:val="001E630D"/>
    <w:rsid w:val="00207693"/>
    <w:rsid w:val="002101FC"/>
    <w:rsid w:val="00210299"/>
    <w:rsid w:val="002258B6"/>
    <w:rsid w:val="002351CD"/>
    <w:rsid w:val="0023736F"/>
    <w:rsid w:val="00264E88"/>
    <w:rsid w:val="00266477"/>
    <w:rsid w:val="0027252E"/>
    <w:rsid w:val="00273EC7"/>
    <w:rsid w:val="002924AB"/>
    <w:rsid w:val="002974B7"/>
    <w:rsid w:val="002976FC"/>
    <w:rsid w:val="002A55FA"/>
    <w:rsid w:val="002B36C4"/>
    <w:rsid w:val="002B3C50"/>
    <w:rsid w:val="002C0EDA"/>
    <w:rsid w:val="002F16DE"/>
    <w:rsid w:val="00310246"/>
    <w:rsid w:val="003113AA"/>
    <w:rsid w:val="00312CB5"/>
    <w:rsid w:val="003174DA"/>
    <w:rsid w:val="003379C2"/>
    <w:rsid w:val="00361BF1"/>
    <w:rsid w:val="003764D4"/>
    <w:rsid w:val="003805E9"/>
    <w:rsid w:val="00380CA7"/>
    <w:rsid w:val="003811EA"/>
    <w:rsid w:val="003A085B"/>
    <w:rsid w:val="003B2BB8"/>
    <w:rsid w:val="003C0BF3"/>
    <w:rsid w:val="003D34FF"/>
    <w:rsid w:val="003D6B6F"/>
    <w:rsid w:val="003F1467"/>
    <w:rsid w:val="003F48CE"/>
    <w:rsid w:val="004000B0"/>
    <w:rsid w:val="00415D2F"/>
    <w:rsid w:val="00426766"/>
    <w:rsid w:val="004401FA"/>
    <w:rsid w:val="004463D9"/>
    <w:rsid w:val="004731F5"/>
    <w:rsid w:val="00485908"/>
    <w:rsid w:val="0049023A"/>
    <w:rsid w:val="004A0EB7"/>
    <w:rsid w:val="004A6BFE"/>
    <w:rsid w:val="004B54CA"/>
    <w:rsid w:val="004B69F0"/>
    <w:rsid w:val="004C3E62"/>
    <w:rsid w:val="004C554E"/>
    <w:rsid w:val="004D32C4"/>
    <w:rsid w:val="004D6D7B"/>
    <w:rsid w:val="004E5CBF"/>
    <w:rsid w:val="004E6A92"/>
    <w:rsid w:val="004F72F3"/>
    <w:rsid w:val="005072A9"/>
    <w:rsid w:val="00520F54"/>
    <w:rsid w:val="005260A4"/>
    <w:rsid w:val="00532A9C"/>
    <w:rsid w:val="005333CE"/>
    <w:rsid w:val="0053619D"/>
    <w:rsid w:val="005373F7"/>
    <w:rsid w:val="005548A1"/>
    <w:rsid w:val="005655CA"/>
    <w:rsid w:val="00566CB9"/>
    <w:rsid w:val="00572EBE"/>
    <w:rsid w:val="00586D93"/>
    <w:rsid w:val="005A0111"/>
    <w:rsid w:val="005B0FF7"/>
    <w:rsid w:val="005B21B0"/>
    <w:rsid w:val="005B2A1D"/>
    <w:rsid w:val="005B3946"/>
    <w:rsid w:val="005B61D6"/>
    <w:rsid w:val="005C3AA9"/>
    <w:rsid w:val="005E0AAE"/>
    <w:rsid w:val="005E30C3"/>
    <w:rsid w:val="005F09CF"/>
    <w:rsid w:val="005F26FA"/>
    <w:rsid w:val="005F291F"/>
    <w:rsid w:val="005F4103"/>
    <w:rsid w:val="0060672E"/>
    <w:rsid w:val="00625197"/>
    <w:rsid w:val="00636DE1"/>
    <w:rsid w:val="0064468F"/>
    <w:rsid w:val="006471A9"/>
    <w:rsid w:val="00650309"/>
    <w:rsid w:val="006563E6"/>
    <w:rsid w:val="00682780"/>
    <w:rsid w:val="006838C8"/>
    <w:rsid w:val="00684AA2"/>
    <w:rsid w:val="00684AA3"/>
    <w:rsid w:val="006A0C59"/>
    <w:rsid w:val="006A4A7C"/>
    <w:rsid w:val="006A4CE7"/>
    <w:rsid w:val="006B26C9"/>
    <w:rsid w:val="006D58F0"/>
    <w:rsid w:val="00700864"/>
    <w:rsid w:val="00704913"/>
    <w:rsid w:val="00705B93"/>
    <w:rsid w:val="00711AA5"/>
    <w:rsid w:val="00716847"/>
    <w:rsid w:val="00721751"/>
    <w:rsid w:val="0072407E"/>
    <w:rsid w:val="00733F53"/>
    <w:rsid w:val="00745C40"/>
    <w:rsid w:val="0075624E"/>
    <w:rsid w:val="00763B50"/>
    <w:rsid w:val="00767D18"/>
    <w:rsid w:val="00777E25"/>
    <w:rsid w:val="00784893"/>
    <w:rsid w:val="00785261"/>
    <w:rsid w:val="007905FB"/>
    <w:rsid w:val="00796009"/>
    <w:rsid w:val="007A221B"/>
    <w:rsid w:val="007B0256"/>
    <w:rsid w:val="007B2F00"/>
    <w:rsid w:val="007B4D04"/>
    <w:rsid w:val="007C3494"/>
    <w:rsid w:val="007D3BEE"/>
    <w:rsid w:val="007E10AB"/>
    <w:rsid w:val="007E205D"/>
    <w:rsid w:val="008010D0"/>
    <w:rsid w:val="008011AC"/>
    <w:rsid w:val="00804CA1"/>
    <w:rsid w:val="00812088"/>
    <w:rsid w:val="00820887"/>
    <w:rsid w:val="00822618"/>
    <w:rsid w:val="00826C63"/>
    <w:rsid w:val="00842BCE"/>
    <w:rsid w:val="0084504B"/>
    <w:rsid w:val="00883CA7"/>
    <w:rsid w:val="008856B7"/>
    <w:rsid w:val="00890796"/>
    <w:rsid w:val="008C5EE5"/>
    <w:rsid w:val="008E11C6"/>
    <w:rsid w:val="008E6A4B"/>
    <w:rsid w:val="008F51AA"/>
    <w:rsid w:val="009041BA"/>
    <w:rsid w:val="009225F0"/>
    <w:rsid w:val="00922E66"/>
    <w:rsid w:val="00935885"/>
    <w:rsid w:val="00953548"/>
    <w:rsid w:val="00961AB3"/>
    <w:rsid w:val="009637AE"/>
    <w:rsid w:val="00963A82"/>
    <w:rsid w:val="00982E22"/>
    <w:rsid w:val="009974A6"/>
    <w:rsid w:val="00997C53"/>
    <w:rsid w:val="009A7A6B"/>
    <w:rsid w:val="009F2A0A"/>
    <w:rsid w:val="009F568E"/>
    <w:rsid w:val="00A00102"/>
    <w:rsid w:val="00A03BE3"/>
    <w:rsid w:val="00A11DB7"/>
    <w:rsid w:val="00A14C02"/>
    <w:rsid w:val="00A21AE5"/>
    <w:rsid w:val="00A22A69"/>
    <w:rsid w:val="00A27BC8"/>
    <w:rsid w:val="00A3024B"/>
    <w:rsid w:val="00A370BD"/>
    <w:rsid w:val="00A3746F"/>
    <w:rsid w:val="00A71999"/>
    <w:rsid w:val="00A7697D"/>
    <w:rsid w:val="00A77D85"/>
    <w:rsid w:val="00A826D9"/>
    <w:rsid w:val="00A8311A"/>
    <w:rsid w:val="00AB454A"/>
    <w:rsid w:val="00AD4C33"/>
    <w:rsid w:val="00AE7FD8"/>
    <w:rsid w:val="00B04229"/>
    <w:rsid w:val="00B0586C"/>
    <w:rsid w:val="00B06C2C"/>
    <w:rsid w:val="00B16CCC"/>
    <w:rsid w:val="00B21A1A"/>
    <w:rsid w:val="00B344AF"/>
    <w:rsid w:val="00B36986"/>
    <w:rsid w:val="00B40EEE"/>
    <w:rsid w:val="00B5525C"/>
    <w:rsid w:val="00B57A31"/>
    <w:rsid w:val="00B623CC"/>
    <w:rsid w:val="00B730D5"/>
    <w:rsid w:val="00B94553"/>
    <w:rsid w:val="00B94A54"/>
    <w:rsid w:val="00B95226"/>
    <w:rsid w:val="00BA0506"/>
    <w:rsid w:val="00BA2DB9"/>
    <w:rsid w:val="00BA76C9"/>
    <w:rsid w:val="00BB7E8C"/>
    <w:rsid w:val="00BC5ED9"/>
    <w:rsid w:val="00BD4D34"/>
    <w:rsid w:val="00BE4A33"/>
    <w:rsid w:val="00BE7148"/>
    <w:rsid w:val="00BF32AC"/>
    <w:rsid w:val="00C05D3D"/>
    <w:rsid w:val="00C1083E"/>
    <w:rsid w:val="00C24F5D"/>
    <w:rsid w:val="00C268CD"/>
    <w:rsid w:val="00C46200"/>
    <w:rsid w:val="00C93297"/>
    <w:rsid w:val="00CA2373"/>
    <w:rsid w:val="00CA5E63"/>
    <w:rsid w:val="00CA7C17"/>
    <w:rsid w:val="00CB361D"/>
    <w:rsid w:val="00CB3869"/>
    <w:rsid w:val="00CC385B"/>
    <w:rsid w:val="00CD6FDB"/>
    <w:rsid w:val="00CE5094"/>
    <w:rsid w:val="00CE5F4D"/>
    <w:rsid w:val="00CE7A9A"/>
    <w:rsid w:val="00D16FD7"/>
    <w:rsid w:val="00D209A3"/>
    <w:rsid w:val="00D243B0"/>
    <w:rsid w:val="00D249F9"/>
    <w:rsid w:val="00D46358"/>
    <w:rsid w:val="00D47B40"/>
    <w:rsid w:val="00D67B95"/>
    <w:rsid w:val="00D72CD4"/>
    <w:rsid w:val="00D730AC"/>
    <w:rsid w:val="00D878BA"/>
    <w:rsid w:val="00DB7978"/>
    <w:rsid w:val="00DD279E"/>
    <w:rsid w:val="00DD5DD9"/>
    <w:rsid w:val="00DD68E5"/>
    <w:rsid w:val="00DE52E6"/>
    <w:rsid w:val="00DF694C"/>
    <w:rsid w:val="00E01D1B"/>
    <w:rsid w:val="00E01E46"/>
    <w:rsid w:val="00E27EBC"/>
    <w:rsid w:val="00E3590F"/>
    <w:rsid w:val="00E4325A"/>
    <w:rsid w:val="00E43D24"/>
    <w:rsid w:val="00E54789"/>
    <w:rsid w:val="00E701BD"/>
    <w:rsid w:val="00E761DE"/>
    <w:rsid w:val="00E80981"/>
    <w:rsid w:val="00E8697D"/>
    <w:rsid w:val="00E92258"/>
    <w:rsid w:val="00E93ABE"/>
    <w:rsid w:val="00EA1813"/>
    <w:rsid w:val="00EB4762"/>
    <w:rsid w:val="00EC246B"/>
    <w:rsid w:val="00ED3ABB"/>
    <w:rsid w:val="00ED3DC3"/>
    <w:rsid w:val="00EE30B4"/>
    <w:rsid w:val="00EF272C"/>
    <w:rsid w:val="00EF356F"/>
    <w:rsid w:val="00F15D12"/>
    <w:rsid w:val="00F33DFC"/>
    <w:rsid w:val="00F34FE7"/>
    <w:rsid w:val="00F43328"/>
    <w:rsid w:val="00F435B9"/>
    <w:rsid w:val="00F44C97"/>
    <w:rsid w:val="00F65A92"/>
    <w:rsid w:val="00F664F8"/>
    <w:rsid w:val="00F9754B"/>
    <w:rsid w:val="00FC5C44"/>
    <w:rsid w:val="00FD3A99"/>
    <w:rsid w:val="00FE0EB9"/>
    <w:rsid w:val="00FE2653"/>
    <w:rsid w:val="00FE2662"/>
    <w:rsid w:val="00FE32AB"/>
    <w:rsid w:val="00FF7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1"/>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0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46"/>
    <w:rPr>
      <w:rFonts w:ascii="Tahoma" w:hAnsi="Tahoma" w:cs="Tahoma"/>
      <w:sz w:val="16"/>
      <w:szCs w:val="16"/>
    </w:rPr>
  </w:style>
  <w:style w:type="character" w:styleId="Hyperlink">
    <w:name w:val="Hyperlink"/>
    <w:basedOn w:val="DefaultParagraphFont"/>
    <w:uiPriority w:val="99"/>
    <w:semiHidden/>
    <w:unhideWhenUsed/>
    <w:rsid w:val="001E56B1"/>
    <w:rPr>
      <w:color w:val="0000FF"/>
      <w:u w:val="single"/>
    </w:rPr>
  </w:style>
  <w:style w:type="paragraph" w:styleId="PlainText">
    <w:name w:val="Plain Text"/>
    <w:basedOn w:val="Normal"/>
    <w:link w:val="PlainTextChar"/>
    <w:uiPriority w:val="99"/>
    <w:semiHidden/>
    <w:unhideWhenUsed/>
    <w:rsid w:val="00F4332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43328"/>
    <w:rPr>
      <w:rFonts w:ascii="Consolas" w:hAnsi="Consolas" w:cs="Consolas"/>
      <w:sz w:val="21"/>
      <w:szCs w:val="21"/>
    </w:rPr>
  </w:style>
  <w:style w:type="character" w:styleId="CommentReference">
    <w:name w:val="annotation reference"/>
    <w:basedOn w:val="DefaultParagraphFont"/>
    <w:uiPriority w:val="99"/>
    <w:semiHidden/>
    <w:unhideWhenUsed/>
    <w:rsid w:val="00C93297"/>
    <w:rPr>
      <w:sz w:val="16"/>
      <w:szCs w:val="16"/>
    </w:rPr>
  </w:style>
  <w:style w:type="paragraph" w:styleId="CommentText">
    <w:name w:val="annotation text"/>
    <w:basedOn w:val="Normal"/>
    <w:link w:val="CommentTextChar"/>
    <w:uiPriority w:val="99"/>
    <w:semiHidden/>
    <w:unhideWhenUsed/>
    <w:rsid w:val="00C93297"/>
    <w:pPr>
      <w:spacing w:line="240" w:lineRule="auto"/>
    </w:pPr>
    <w:rPr>
      <w:sz w:val="20"/>
      <w:szCs w:val="20"/>
    </w:rPr>
  </w:style>
  <w:style w:type="character" w:customStyle="1" w:styleId="CommentTextChar">
    <w:name w:val="Comment Text Char"/>
    <w:basedOn w:val="DefaultParagraphFont"/>
    <w:link w:val="CommentText"/>
    <w:uiPriority w:val="99"/>
    <w:semiHidden/>
    <w:rsid w:val="00C932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3297"/>
    <w:rPr>
      <w:b/>
      <w:bCs/>
    </w:rPr>
  </w:style>
  <w:style w:type="character" w:customStyle="1" w:styleId="CommentSubjectChar">
    <w:name w:val="Comment Subject Char"/>
    <w:basedOn w:val="CommentTextChar"/>
    <w:link w:val="CommentSubject"/>
    <w:uiPriority w:val="99"/>
    <w:semiHidden/>
    <w:rsid w:val="00C93297"/>
    <w:rPr>
      <w:rFonts w:ascii="Arial" w:hAnsi="Arial"/>
      <w:b/>
      <w:bCs/>
      <w:sz w:val="20"/>
      <w:szCs w:val="20"/>
    </w:rPr>
  </w:style>
  <w:style w:type="paragraph" w:styleId="Header">
    <w:name w:val="header"/>
    <w:basedOn w:val="Normal"/>
    <w:link w:val="HeaderChar"/>
    <w:uiPriority w:val="99"/>
    <w:unhideWhenUsed/>
    <w:rsid w:val="00705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B93"/>
    <w:rPr>
      <w:rFonts w:ascii="Arial" w:hAnsi="Arial"/>
    </w:rPr>
  </w:style>
  <w:style w:type="paragraph" w:styleId="Footer">
    <w:name w:val="footer"/>
    <w:basedOn w:val="Normal"/>
    <w:link w:val="FooterChar"/>
    <w:uiPriority w:val="99"/>
    <w:unhideWhenUsed/>
    <w:rsid w:val="0070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B93"/>
    <w:rPr>
      <w:rFonts w:ascii="Arial" w:hAnsi="Arial"/>
    </w:rPr>
  </w:style>
  <w:style w:type="paragraph" w:customStyle="1" w:styleId="Default">
    <w:name w:val="Default"/>
    <w:rsid w:val="001903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1"/>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0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46"/>
    <w:rPr>
      <w:rFonts w:ascii="Tahoma" w:hAnsi="Tahoma" w:cs="Tahoma"/>
      <w:sz w:val="16"/>
      <w:szCs w:val="16"/>
    </w:rPr>
  </w:style>
  <w:style w:type="character" w:styleId="Hyperlink">
    <w:name w:val="Hyperlink"/>
    <w:basedOn w:val="DefaultParagraphFont"/>
    <w:uiPriority w:val="99"/>
    <w:semiHidden/>
    <w:unhideWhenUsed/>
    <w:rsid w:val="001E56B1"/>
    <w:rPr>
      <w:color w:val="0000FF"/>
      <w:u w:val="single"/>
    </w:rPr>
  </w:style>
  <w:style w:type="paragraph" w:styleId="PlainText">
    <w:name w:val="Plain Text"/>
    <w:basedOn w:val="Normal"/>
    <w:link w:val="PlainTextChar"/>
    <w:uiPriority w:val="99"/>
    <w:semiHidden/>
    <w:unhideWhenUsed/>
    <w:rsid w:val="00F4332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43328"/>
    <w:rPr>
      <w:rFonts w:ascii="Consolas" w:hAnsi="Consolas" w:cs="Consolas"/>
      <w:sz w:val="21"/>
      <w:szCs w:val="21"/>
    </w:rPr>
  </w:style>
  <w:style w:type="character" w:styleId="CommentReference">
    <w:name w:val="annotation reference"/>
    <w:basedOn w:val="DefaultParagraphFont"/>
    <w:uiPriority w:val="99"/>
    <w:semiHidden/>
    <w:unhideWhenUsed/>
    <w:rsid w:val="00C93297"/>
    <w:rPr>
      <w:sz w:val="16"/>
      <w:szCs w:val="16"/>
    </w:rPr>
  </w:style>
  <w:style w:type="paragraph" w:styleId="CommentText">
    <w:name w:val="annotation text"/>
    <w:basedOn w:val="Normal"/>
    <w:link w:val="CommentTextChar"/>
    <w:uiPriority w:val="99"/>
    <w:semiHidden/>
    <w:unhideWhenUsed/>
    <w:rsid w:val="00C93297"/>
    <w:pPr>
      <w:spacing w:line="240" w:lineRule="auto"/>
    </w:pPr>
    <w:rPr>
      <w:sz w:val="20"/>
      <w:szCs w:val="20"/>
    </w:rPr>
  </w:style>
  <w:style w:type="character" w:customStyle="1" w:styleId="CommentTextChar">
    <w:name w:val="Comment Text Char"/>
    <w:basedOn w:val="DefaultParagraphFont"/>
    <w:link w:val="CommentText"/>
    <w:uiPriority w:val="99"/>
    <w:semiHidden/>
    <w:rsid w:val="00C932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3297"/>
    <w:rPr>
      <w:b/>
      <w:bCs/>
    </w:rPr>
  </w:style>
  <w:style w:type="character" w:customStyle="1" w:styleId="CommentSubjectChar">
    <w:name w:val="Comment Subject Char"/>
    <w:basedOn w:val="CommentTextChar"/>
    <w:link w:val="CommentSubject"/>
    <w:uiPriority w:val="99"/>
    <w:semiHidden/>
    <w:rsid w:val="00C93297"/>
    <w:rPr>
      <w:rFonts w:ascii="Arial" w:hAnsi="Arial"/>
      <w:b/>
      <w:bCs/>
      <w:sz w:val="20"/>
      <w:szCs w:val="20"/>
    </w:rPr>
  </w:style>
  <w:style w:type="paragraph" w:styleId="Header">
    <w:name w:val="header"/>
    <w:basedOn w:val="Normal"/>
    <w:link w:val="HeaderChar"/>
    <w:uiPriority w:val="99"/>
    <w:unhideWhenUsed/>
    <w:rsid w:val="00705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B93"/>
    <w:rPr>
      <w:rFonts w:ascii="Arial" w:hAnsi="Arial"/>
    </w:rPr>
  </w:style>
  <w:style w:type="paragraph" w:styleId="Footer">
    <w:name w:val="footer"/>
    <w:basedOn w:val="Normal"/>
    <w:link w:val="FooterChar"/>
    <w:uiPriority w:val="99"/>
    <w:unhideWhenUsed/>
    <w:rsid w:val="0070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B93"/>
    <w:rPr>
      <w:rFonts w:ascii="Arial" w:hAnsi="Arial"/>
    </w:rPr>
  </w:style>
  <w:style w:type="paragraph" w:customStyle="1" w:styleId="Default">
    <w:name w:val="Default"/>
    <w:rsid w:val="001903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60881">
      <w:bodyDiv w:val="1"/>
      <w:marLeft w:val="0"/>
      <w:marRight w:val="0"/>
      <w:marTop w:val="0"/>
      <w:marBottom w:val="0"/>
      <w:divBdr>
        <w:top w:val="none" w:sz="0" w:space="0" w:color="auto"/>
        <w:left w:val="none" w:sz="0" w:space="0" w:color="auto"/>
        <w:bottom w:val="none" w:sz="0" w:space="0" w:color="auto"/>
        <w:right w:val="none" w:sz="0" w:space="0" w:color="auto"/>
      </w:divBdr>
    </w:div>
    <w:div w:id="379134834">
      <w:bodyDiv w:val="1"/>
      <w:marLeft w:val="0"/>
      <w:marRight w:val="0"/>
      <w:marTop w:val="0"/>
      <w:marBottom w:val="0"/>
      <w:divBdr>
        <w:top w:val="none" w:sz="0" w:space="0" w:color="auto"/>
        <w:left w:val="none" w:sz="0" w:space="0" w:color="auto"/>
        <w:bottom w:val="none" w:sz="0" w:space="0" w:color="auto"/>
        <w:right w:val="none" w:sz="0" w:space="0" w:color="auto"/>
      </w:divBdr>
    </w:div>
    <w:div w:id="1167556594">
      <w:bodyDiv w:val="1"/>
      <w:marLeft w:val="0"/>
      <w:marRight w:val="0"/>
      <w:marTop w:val="0"/>
      <w:marBottom w:val="0"/>
      <w:divBdr>
        <w:top w:val="none" w:sz="0" w:space="0" w:color="auto"/>
        <w:left w:val="none" w:sz="0" w:space="0" w:color="auto"/>
        <w:bottom w:val="none" w:sz="0" w:space="0" w:color="auto"/>
        <w:right w:val="none" w:sz="0" w:space="0" w:color="auto"/>
      </w:divBdr>
    </w:div>
    <w:div w:id="1474523396">
      <w:bodyDiv w:val="1"/>
      <w:marLeft w:val="0"/>
      <w:marRight w:val="0"/>
      <w:marTop w:val="0"/>
      <w:marBottom w:val="0"/>
      <w:divBdr>
        <w:top w:val="none" w:sz="0" w:space="0" w:color="auto"/>
        <w:left w:val="none" w:sz="0" w:space="0" w:color="auto"/>
        <w:bottom w:val="none" w:sz="0" w:space="0" w:color="auto"/>
        <w:right w:val="none" w:sz="0" w:space="0" w:color="auto"/>
      </w:divBdr>
    </w:div>
    <w:div w:id="1649743162">
      <w:bodyDiv w:val="1"/>
      <w:marLeft w:val="0"/>
      <w:marRight w:val="0"/>
      <w:marTop w:val="0"/>
      <w:marBottom w:val="0"/>
      <w:divBdr>
        <w:top w:val="none" w:sz="0" w:space="0" w:color="auto"/>
        <w:left w:val="none" w:sz="0" w:space="0" w:color="auto"/>
        <w:bottom w:val="none" w:sz="0" w:space="0" w:color="auto"/>
        <w:right w:val="none" w:sz="0" w:space="0" w:color="auto"/>
      </w:divBdr>
    </w:div>
    <w:div w:id="1888370639">
      <w:bodyDiv w:val="1"/>
      <w:marLeft w:val="0"/>
      <w:marRight w:val="0"/>
      <w:marTop w:val="0"/>
      <w:marBottom w:val="0"/>
      <w:divBdr>
        <w:top w:val="none" w:sz="0" w:space="0" w:color="auto"/>
        <w:left w:val="none" w:sz="0" w:space="0" w:color="auto"/>
        <w:bottom w:val="none" w:sz="0" w:space="0" w:color="auto"/>
        <w:right w:val="none" w:sz="0" w:space="0" w:color="auto"/>
      </w:divBdr>
    </w:div>
    <w:div w:id="20599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wc.gov.au/documents/modern_awards/award/MA000103/ma000103-18.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A3E5-E362-41FB-85F3-FF02823E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3581</Words>
  <Characters>20416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CARRIGAN, Siobhan</dc:creator>
  <cp:lastModifiedBy>Lara Emery</cp:lastModifiedBy>
  <cp:revision>2</cp:revision>
  <cp:lastPrinted>2014-01-17T05:59:00Z</cp:lastPrinted>
  <dcterms:created xsi:type="dcterms:W3CDTF">2014-02-10T22:45:00Z</dcterms:created>
  <dcterms:modified xsi:type="dcterms:W3CDTF">2014-02-10T22:45:00Z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ies>
</file>