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7EEC5" w14:textId="77777777" w:rsidR="00A31DE9" w:rsidRPr="009B0FD7" w:rsidRDefault="002C1CA1" w:rsidP="00A31DE9">
      <w:pPr>
        <w:pStyle w:val="Title"/>
        <w:rPr>
          <w:color w:val="1F497D" w:themeColor="text2"/>
          <w:sz w:val="36"/>
          <w:szCs w:val="36"/>
        </w:rPr>
      </w:pPr>
      <w:r w:rsidRPr="009B0FD7">
        <w:rPr>
          <w:color w:val="1F497D" w:themeColor="text2"/>
          <w:sz w:val="36"/>
          <w:szCs w:val="36"/>
        </w:rPr>
        <w:t xml:space="preserve">Factsheet: </w:t>
      </w:r>
      <w:r w:rsidR="00A31DE9" w:rsidRPr="009B0FD7">
        <w:rPr>
          <w:color w:val="1F497D" w:themeColor="text2"/>
          <w:sz w:val="36"/>
          <w:szCs w:val="36"/>
        </w:rPr>
        <w:t>Human rights education</w:t>
      </w:r>
    </w:p>
    <w:p w14:paraId="71FFAD64" w14:textId="77777777" w:rsidR="00A31DE9" w:rsidRPr="009B0FD7" w:rsidRDefault="00A31DE9" w:rsidP="00A31DE9">
      <w:pPr>
        <w:rPr>
          <w:b/>
          <w:color w:val="1F497D" w:themeColor="text2"/>
          <w:sz w:val="28"/>
        </w:rPr>
      </w:pPr>
      <w:r w:rsidRPr="009B0FD7">
        <w:rPr>
          <w:b/>
          <w:color w:val="1F497D" w:themeColor="text2"/>
          <w:sz w:val="28"/>
        </w:rPr>
        <w:t>Background information</w:t>
      </w:r>
    </w:p>
    <w:p w14:paraId="78ABCD83" w14:textId="77777777" w:rsidR="00A31DE9" w:rsidRDefault="00A31DE9" w:rsidP="00A31DE9">
      <w:r>
        <w:t>Human rights education is foundational to the realisation of human rights and fundamental freedoms. Government funding for human rights education has fluctuated over the last 4 years.</w:t>
      </w:r>
    </w:p>
    <w:p w14:paraId="71F801EA" w14:textId="16062041" w:rsidR="00A31DE9" w:rsidRDefault="00A31DE9" w:rsidP="00A31DE9">
      <w:r>
        <w:t>In 2012, as part of the National Human Rights Action Plan, t</w:t>
      </w:r>
      <w:r w:rsidRPr="00E51BFD">
        <w:rPr>
          <w:szCs w:val="23"/>
        </w:rPr>
        <w:t xml:space="preserve">he </w:t>
      </w:r>
      <w:r w:rsidR="009B0FD7">
        <w:rPr>
          <w:szCs w:val="23"/>
        </w:rPr>
        <w:t>Australian G</w:t>
      </w:r>
      <w:r w:rsidRPr="00E51BFD">
        <w:rPr>
          <w:szCs w:val="23"/>
        </w:rPr>
        <w:t xml:space="preserve">overnment </w:t>
      </w:r>
      <w:r w:rsidRPr="00E51BFD">
        <w:rPr>
          <w:szCs w:val="23"/>
          <w:lang w:val="en-US"/>
        </w:rPr>
        <w:t>invested over $12 million in a range of education initiatives to promote a greater</w:t>
      </w:r>
      <w:r>
        <w:rPr>
          <w:szCs w:val="23"/>
          <w:lang w:val="en-US"/>
        </w:rPr>
        <w:t xml:space="preserve"> </w:t>
      </w:r>
      <w:r w:rsidRPr="00E51BFD">
        <w:rPr>
          <w:szCs w:val="23"/>
          <w:lang w:val="en-US"/>
        </w:rPr>
        <w:t>understanding of human rights across the community.</w:t>
      </w:r>
      <w:r>
        <w:rPr>
          <w:szCs w:val="23"/>
          <w:lang w:val="en-US"/>
        </w:rPr>
        <w:t xml:space="preserve"> This included funding for an education and training package for the Australia</w:t>
      </w:r>
      <w:r w:rsidR="00B455AD">
        <w:rPr>
          <w:szCs w:val="23"/>
          <w:lang w:val="en-US"/>
        </w:rPr>
        <w:t>n</w:t>
      </w:r>
      <w:r>
        <w:rPr>
          <w:szCs w:val="23"/>
          <w:lang w:val="en-US"/>
        </w:rPr>
        <w:t xml:space="preserve"> Government public sector. The package</w:t>
      </w:r>
      <w:r w:rsidRPr="000E54CD">
        <w:t xml:space="preserve"> </w:t>
      </w:r>
      <w:r w:rsidRPr="000E54CD">
        <w:rPr>
          <w:szCs w:val="23"/>
          <w:lang w:val="en-US"/>
        </w:rPr>
        <w:t>includ</w:t>
      </w:r>
      <w:r>
        <w:rPr>
          <w:szCs w:val="23"/>
          <w:lang w:val="en-US"/>
        </w:rPr>
        <w:t>ed</w:t>
      </w:r>
      <w:r w:rsidRPr="000E54CD">
        <w:rPr>
          <w:szCs w:val="23"/>
          <w:lang w:val="en-US"/>
        </w:rPr>
        <w:t xml:space="preserve"> guidance materials for public sector policy development and implementation of government programs</w:t>
      </w:r>
      <w:r>
        <w:t xml:space="preserve">. </w:t>
      </w:r>
      <w:r>
        <w:rPr>
          <w:szCs w:val="23"/>
          <w:lang w:val="en-US"/>
        </w:rPr>
        <w:t>However g</w:t>
      </w:r>
      <w:r w:rsidRPr="0039771F">
        <w:rPr>
          <w:szCs w:val="23"/>
          <w:lang w:val="en-US"/>
        </w:rPr>
        <w:t>rants for human rights education activities were discontinued</w:t>
      </w:r>
      <w:r>
        <w:t>.</w:t>
      </w:r>
      <w:r w:rsidR="002C1CA1">
        <w:rPr>
          <w:rStyle w:val="EndnoteReference"/>
          <w:lang w:val="en-NZ"/>
        </w:rPr>
        <w:endnoteReference w:id="1"/>
      </w:r>
    </w:p>
    <w:p w14:paraId="526E5A6E" w14:textId="0E500A38" w:rsidR="00C92640" w:rsidRDefault="00A31DE9" w:rsidP="00A31DE9">
      <w:r>
        <w:t xml:space="preserve">The Australian </w:t>
      </w:r>
      <w:r w:rsidR="00C92640">
        <w:t>Human Rights Commission has initiated a number of measures relating to human rights education:</w:t>
      </w:r>
    </w:p>
    <w:p w14:paraId="38BA05C8" w14:textId="77777777" w:rsidR="009B0FD7" w:rsidRDefault="00C92640" w:rsidP="00C92640">
      <w:pPr>
        <w:pStyle w:val="ListParagraph"/>
        <w:numPr>
          <w:ilvl w:val="0"/>
          <w:numId w:val="32"/>
        </w:numPr>
      </w:pPr>
      <w:r>
        <w:t xml:space="preserve">The Australian </w:t>
      </w:r>
      <w:r w:rsidR="00A31DE9">
        <w:t xml:space="preserve">Public Service Human Rights Network was launched to support the people working within government and to discuss how human rights relate to their work. The Network meets approximately four times a year to discuss contemporary human rights issues and currently has </w:t>
      </w:r>
      <w:r w:rsidR="002C1CA1">
        <w:t xml:space="preserve">over 600 </w:t>
      </w:r>
      <w:r w:rsidR="00A31DE9">
        <w:t>members.</w:t>
      </w:r>
      <w:r w:rsidR="002C1CA1">
        <w:rPr>
          <w:rStyle w:val="EndnoteReference"/>
        </w:rPr>
        <w:endnoteReference w:id="2"/>
      </w:r>
    </w:p>
    <w:p w14:paraId="6E900181" w14:textId="537CA691" w:rsidR="00A31DE9" w:rsidRDefault="00A31DE9" w:rsidP="009B0FD7">
      <w:pPr>
        <w:pStyle w:val="ListParagraph"/>
      </w:pPr>
      <w:r w:rsidRPr="006C0BE0">
        <w:t xml:space="preserve"> </w:t>
      </w:r>
    </w:p>
    <w:p w14:paraId="2596A003" w14:textId="07108776" w:rsidR="00A31DE9" w:rsidRDefault="00A31DE9" w:rsidP="00A31DE9">
      <w:pPr>
        <w:pStyle w:val="ListParagraph"/>
        <w:numPr>
          <w:ilvl w:val="0"/>
          <w:numId w:val="32"/>
        </w:numPr>
      </w:pPr>
      <w:r>
        <w:t>A suite of resources</w:t>
      </w:r>
      <w:r w:rsidR="009B0FD7">
        <w:t>, mapped to the Australian Curriculum,</w:t>
      </w:r>
      <w:r>
        <w:t xml:space="preserve"> were released for use in schools. The resource</w:t>
      </w:r>
      <w:bookmarkStart w:id="0" w:name="_GoBack"/>
      <w:bookmarkEnd w:id="0"/>
      <w:r>
        <w:t>s</w:t>
      </w:r>
      <w:r w:rsidR="000B268A">
        <w:t xml:space="preserve"> are linked to the teaching of History, Civics and Citizenship, Health and Physical Education, Geography, and Mathematics, and</w:t>
      </w:r>
      <w:r>
        <w:t xml:space="preserve"> </w:t>
      </w:r>
      <w:r w:rsidR="000B268A">
        <w:t xml:space="preserve">include </w:t>
      </w:r>
      <w:r>
        <w:t xml:space="preserve">topics </w:t>
      </w:r>
      <w:r w:rsidR="000B268A">
        <w:t xml:space="preserve">relating to </w:t>
      </w:r>
      <w:r>
        <w:t>anti-racism</w:t>
      </w:r>
      <w:r w:rsidR="009B0FD7">
        <w:t>,</w:t>
      </w:r>
      <w:r>
        <w:t xml:space="preserve"> disability rights</w:t>
      </w:r>
      <w:r w:rsidR="000B268A">
        <w:t xml:space="preserve"> and </w:t>
      </w:r>
      <w:r w:rsidR="001C57EE">
        <w:t xml:space="preserve">the </w:t>
      </w:r>
      <w:r w:rsidR="000B268A">
        <w:t>Magna Carta</w:t>
      </w:r>
      <w:r>
        <w:t>. A mapping resource was also developed for teachers called Human Rights Examples for the Australian Curriculum. Th</w:t>
      </w:r>
      <w:r w:rsidR="001C57EE">
        <w:t>e</w:t>
      </w:r>
      <w:r>
        <w:t xml:space="preserve"> mapping resource is designed as a guide for teachers to provide human rights related examples that are consistent with key learning area content descriptions. Interactive websites were also created to teach children and </w:t>
      </w:r>
      <w:r w:rsidR="00513720">
        <w:t>young people about human rights</w:t>
      </w:r>
      <w:r>
        <w:t>.</w:t>
      </w:r>
      <w:r w:rsidR="00513720">
        <w:rPr>
          <w:rStyle w:val="EndnoteReference"/>
        </w:rPr>
        <w:endnoteReference w:id="3"/>
      </w:r>
    </w:p>
    <w:p w14:paraId="1E85472B" w14:textId="77777777" w:rsidR="00A31DE9" w:rsidRDefault="00A31DE9" w:rsidP="00A31DE9">
      <w:r>
        <w:t>Australia’s activities for the World Program for Human Rights Education have been ad hoc and uncoordinated.</w:t>
      </w:r>
    </w:p>
    <w:p w14:paraId="7A07F94F" w14:textId="77777777" w:rsidR="00A31DE9" w:rsidRPr="009B0FD7" w:rsidRDefault="00A31DE9" w:rsidP="00A31DE9">
      <w:pPr>
        <w:rPr>
          <w:b/>
          <w:color w:val="1F497D" w:themeColor="text2"/>
          <w:sz w:val="28"/>
        </w:rPr>
      </w:pPr>
      <w:r w:rsidRPr="009B0FD7">
        <w:rPr>
          <w:b/>
          <w:color w:val="1F497D" w:themeColor="text2"/>
          <w:sz w:val="28"/>
        </w:rPr>
        <w:t>Key issue</w:t>
      </w:r>
    </w:p>
    <w:p w14:paraId="1EF450D9" w14:textId="77777777" w:rsidR="00A31DE9" w:rsidRDefault="00A31DE9" w:rsidP="00A31DE9">
      <w:r>
        <w:t xml:space="preserve">There remains a need for ongoing human rights education across the public sector particularly as funding for these initiatives </w:t>
      </w:r>
      <w:r w:rsidR="00C92640">
        <w:t>has ceased</w:t>
      </w:r>
      <w:r>
        <w:t xml:space="preserve">. Further education is also needed in the administration of justice and places of detention, within the tertiary and vocational education sector and across the community. </w:t>
      </w:r>
    </w:p>
    <w:p w14:paraId="1DCE6622" w14:textId="44F9D0BE" w:rsidR="00A31DE9" w:rsidRDefault="00A31DE9" w:rsidP="00A31DE9">
      <w:r>
        <w:lastRenderedPageBreak/>
        <w:t>Some member</w:t>
      </w:r>
      <w:r w:rsidR="001454BC">
        <w:t>s</w:t>
      </w:r>
      <w:r>
        <w:t xml:space="preserve"> of parliament have publically expressed an inaccurate understanding of human rights in the context of various political issues. This can negativel</w:t>
      </w:r>
      <w:r w:rsidR="00513720">
        <w:t xml:space="preserve">y impact the greater population’s </w:t>
      </w:r>
      <w:r>
        <w:t>understanding and attitudes towards human rights.</w:t>
      </w:r>
    </w:p>
    <w:p w14:paraId="1230DCE7" w14:textId="77777777" w:rsidR="00A31DE9" w:rsidRPr="005B50F7" w:rsidRDefault="00A31DE9" w:rsidP="00A31DE9">
      <w:pPr>
        <w:rPr>
          <w:b/>
          <w:sz w:val="28"/>
        </w:rPr>
      </w:pPr>
      <w:r w:rsidRPr="009B0FD7">
        <w:rPr>
          <w:b/>
          <w:color w:val="1F497D" w:themeColor="text2"/>
          <w:sz w:val="28"/>
        </w:rPr>
        <w:t>Recommendation</w:t>
      </w:r>
      <w:r w:rsidRPr="005B50F7">
        <w:rPr>
          <w:b/>
          <w:sz w:val="28"/>
        </w:rPr>
        <w:t xml:space="preserve"> </w:t>
      </w:r>
    </w:p>
    <w:p w14:paraId="77974662" w14:textId="77777777" w:rsidR="00A31DE9" w:rsidRDefault="00A31DE9" w:rsidP="00A31DE9">
      <w:r w:rsidRPr="00D94431">
        <w:rPr>
          <w:b/>
          <w:i/>
        </w:rPr>
        <w:t>Government expand its support for human rights education initiatives, including targeted initiatives for public officials</w:t>
      </w:r>
      <w:r w:rsidR="00875588">
        <w:rPr>
          <w:b/>
          <w:i/>
        </w:rPr>
        <w:t xml:space="preserve"> and schools</w:t>
      </w:r>
      <w:r w:rsidRPr="00D94431">
        <w:rPr>
          <w:b/>
          <w:i/>
        </w:rPr>
        <w:t>.</w:t>
      </w:r>
    </w:p>
    <w:p w14:paraId="01740DD9" w14:textId="77777777" w:rsidR="00732CE4" w:rsidRPr="00A31DE9" w:rsidRDefault="00732CE4" w:rsidP="00A31DE9"/>
    <w:sectPr w:rsidR="00732CE4" w:rsidRPr="00A31DE9" w:rsidSect="00C76D13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851" w:right="1418" w:bottom="1531" w:left="1418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A30AB" w14:textId="77777777" w:rsidR="00732CE4" w:rsidRDefault="00732CE4" w:rsidP="00F14C6D">
      <w:r>
        <w:separator/>
      </w:r>
    </w:p>
  </w:endnote>
  <w:endnote w:type="continuationSeparator" w:id="0">
    <w:p w14:paraId="77420C7B" w14:textId="77777777" w:rsidR="00732CE4" w:rsidRDefault="00732CE4" w:rsidP="00F14C6D">
      <w:r>
        <w:continuationSeparator/>
      </w:r>
    </w:p>
  </w:endnote>
  <w:endnote w:id="1">
    <w:p w14:paraId="1C82A5CA" w14:textId="77777777" w:rsidR="002C1CA1" w:rsidRDefault="002C1CA1" w:rsidP="002C1CA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E698F">
        <w:t xml:space="preserve">Australian Government, </w:t>
      </w:r>
      <w:r w:rsidRPr="00DE698F">
        <w:rPr>
          <w:i/>
        </w:rPr>
        <w:t>National Action Plan on Human Rights</w:t>
      </w:r>
      <w:r w:rsidRPr="00DE698F">
        <w:t xml:space="preserve">. At </w:t>
      </w:r>
      <w:hyperlink r:id="rId1" w:history="1">
        <w:r w:rsidRPr="001D6E39">
          <w:rPr>
            <w:rStyle w:val="Hyperlink"/>
          </w:rPr>
          <w:t>http://www.ag.gov.au/Consultations/Documents/NationalHumanRightsActionPlan/National%20Human%20Rights%20Plan.pdf</w:t>
        </w:r>
      </w:hyperlink>
      <w:r>
        <w:t xml:space="preserve"> </w:t>
      </w:r>
      <w:r w:rsidRPr="00DE698F">
        <w:t xml:space="preserve"> (viewed </w:t>
      </w:r>
      <w:r>
        <w:t>22 June 2015</w:t>
      </w:r>
      <w:r w:rsidRPr="00DE698F">
        <w:t>).</w:t>
      </w:r>
    </w:p>
  </w:endnote>
  <w:endnote w:id="2">
    <w:p w14:paraId="5B1EE8A9" w14:textId="77777777" w:rsidR="002C1CA1" w:rsidRDefault="002C1CA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13720">
        <w:t xml:space="preserve">Australian Human Rights Commission, </w:t>
      </w:r>
      <w:r w:rsidR="00513720" w:rsidRPr="00513720">
        <w:rPr>
          <w:i/>
        </w:rPr>
        <w:t>APS Human Rights Network</w:t>
      </w:r>
      <w:r w:rsidR="00513720">
        <w:t xml:space="preserve">. At </w:t>
      </w:r>
      <w:hyperlink r:id="rId2" w:history="1">
        <w:r w:rsidR="00513720" w:rsidRPr="001D6E39">
          <w:rPr>
            <w:rStyle w:val="Hyperlink"/>
          </w:rPr>
          <w:t>https://www.humanrights.gov.au/education/aps-human-rights-network</w:t>
        </w:r>
      </w:hyperlink>
      <w:r w:rsidR="00513720">
        <w:t xml:space="preserve"> (viewed 22 June 2015).</w:t>
      </w:r>
    </w:p>
  </w:endnote>
  <w:endnote w:id="3">
    <w:p w14:paraId="4BD070AA" w14:textId="77777777" w:rsidR="00513720" w:rsidRDefault="00513720" w:rsidP="00513720">
      <w:pPr>
        <w:pStyle w:val="EndnoteText"/>
      </w:pPr>
      <w:r>
        <w:rPr>
          <w:rStyle w:val="EndnoteReference"/>
        </w:rPr>
        <w:endnoteRef/>
      </w:r>
      <w:r>
        <w:t xml:space="preserve"> Australian Human Rights Commission, Human rights edu</w:t>
      </w:r>
      <w:r w:rsidR="000B268A">
        <w:t>c</w:t>
      </w:r>
      <w:r>
        <w:t xml:space="preserve">ation and training. At </w:t>
      </w:r>
      <w:hyperlink r:id="rId3" w:history="1">
        <w:r w:rsidRPr="001D6E39">
          <w:rPr>
            <w:rStyle w:val="Hyperlink"/>
          </w:rPr>
          <w:t>https://www.humanrights.gov.au/human-rights-education-and-training</w:t>
        </w:r>
      </w:hyperlink>
      <w:r>
        <w:t xml:space="preserve"> (viewed 22 June 2015).</w:t>
      </w:r>
    </w:p>
    <w:p w14:paraId="167EF85C" w14:textId="77777777" w:rsidR="00513720" w:rsidRDefault="00513720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ED095" w14:textId="77777777" w:rsidR="008D6140" w:rsidRPr="0090165F" w:rsidRDefault="008D6140" w:rsidP="00162A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C0E6" w14:textId="77777777" w:rsidR="00732CE4" w:rsidRDefault="00732CE4" w:rsidP="00F14C6D">
      <w:r>
        <w:separator/>
      </w:r>
    </w:p>
  </w:footnote>
  <w:footnote w:type="continuationSeparator" w:id="0">
    <w:p w14:paraId="6D8EC53E" w14:textId="77777777" w:rsidR="00732CE4" w:rsidRDefault="00732CE4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C714" w14:textId="77777777" w:rsidR="008D6140" w:rsidRDefault="008D6140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Layout w:type="fixed"/>
      <w:tblLook w:val="00A0" w:firstRow="1" w:lastRow="0" w:firstColumn="1" w:lastColumn="0" w:noHBand="0" w:noVBand="0"/>
    </w:tblPr>
    <w:tblGrid>
      <w:gridCol w:w="3936"/>
      <w:gridCol w:w="1876"/>
      <w:gridCol w:w="3114"/>
    </w:tblGrid>
    <w:tr w:rsidR="00534A2E" w:rsidRPr="008D1634" w14:paraId="30AF0029" w14:textId="77777777" w:rsidTr="00534A2E">
      <w:trPr>
        <w:trHeight w:val="1603"/>
      </w:trPr>
      <w:tc>
        <w:tcPr>
          <w:tcW w:w="3936" w:type="dxa"/>
        </w:tcPr>
        <w:p w14:paraId="4EF051C5" w14:textId="77777777" w:rsidR="00534A2E" w:rsidRPr="008D1634" w:rsidRDefault="00534A2E" w:rsidP="00331013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anchor distT="0" distB="0" distL="114300" distR="114300" simplePos="0" relativeHeight="251658240" behindDoc="0" locked="0" layoutInCell="1" allowOverlap="1" wp14:anchorId="7F52887A" wp14:editId="69D6327E">
                <wp:simplePos x="0" y="0"/>
                <wp:positionH relativeFrom="column">
                  <wp:posOffset>-635</wp:posOffset>
                </wp:positionH>
                <wp:positionV relativeFrom="page">
                  <wp:posOffset>580166</wp:posOffset>
                </wp:positionV>
                <wp:extent cx="2362200" cy="809625"/>
                <wp:effectExtent l="0" t="0" r="0" b="9525"/>
                <wp:wrapSquare wrapText="bothSides"/>
                <wp:docPr id="1" name="Picture 1" descr="AHRC-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RC-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76" w:type="dxa"/>
          <w:vAlign w:val="center"/>
        </w:tcPr>
        <w:p w14:paraId="747DDAA4" w14:textId="77777777" w:rsidR="00534A2E" w:rsidRPr="008D1634" w:rsidRDefault="00534A2E" w:rsidP="00331013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3114" w:type="dxa"/>
        </w:tcPr>
        <w:p w14:paraId="649FFDEA" w14:textId="77777777" w:rsidR="009B0FD7" w:rsidRDefault="004868B7" w:rsidP="004868B7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br/>
          </w:r>
        </w:p>
        <w:p w14:paraId="1B39AAE2" w14:textId="68DCF291" w:rsidR="00534A2E" w:rsidRPr="003F717E" w:rsidRDefault="00534A2E" w:rsidP="004868B7">
          <w:pPr>
            <w:pStyle w:val="Header"/>
            <w:jc w:val="right"/>
            <w:rPr>
              <w:sz w:val="20"/>
            </w:rPr>
          </w:pPr>
          <w:r w:rsidRPr="00732CE4">
            <w:rPr>
              <w:sz w:val="20"/>
            </w:rPr>
            <w:t>Universal Periodic Review</w:t>
          </w:r>
          <w:r>
            <w:rPr>
              <w:b/>
              <w:sz w:val="20"/>
            </w:rPr>
            <w:t xml:space="preserve"> </w:t>
          </w:r>
        </w:p>
        <w:p w14:paraId="0E5D69C2" w14:textId="77777777" w:rsidR="00534A2E" w:rsidRPr="008D1634" w:rsidRDefault="00534A2E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</w:tr>
  </w:tbl>
  <w:p w14:paraId="44A5DFB7" w14:textId="77777777" w:rsidR="008D6140" w:rsidRPr="00534A2E" w:rsidRDefault="008D614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D267B6"/>
    <w:multiLevelType w:val="hybridMultilevel"/>
    <w:tmpl w:val="F08E2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2E89"/>
    <w:multiLevelType w:val="hybridMultilevel"/>
    <w:tmpl w:val="DEC0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1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1"/>
  </w:num>
  <w:num w:numId="18">
    <w:abstractNumId w:val="19"/>
  </w:num>
  <w:num w:numId="19">
    <w:abstractNumId w:val="14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6"/>
  </w:num>
  <w:num w:numId="23">
    <w:abstractNumId w:val="27"/>
  </w:num>
  <w:num w:numId="24">
    <w:abstractNumId w:val="28"/>
  </w:num>
  <w:num w:numId="25">
    <w:abstractNumId w:val="1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5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9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BD"/>
    <w:rsid w:val="00000871"/>
    <w:rsid w:val="00041650"/>
    <w:rsid w:val="000579B1"/>
    <w:rsid w:val="000B0A5D"/>
    <w:rsid w:val="000B1AA3"/>
    <w:rsid w:val="000B268A"/>
    <w:rsid w:val="000B53EE"/>
    <w:rsid w:val="000E38FA"/>
    <w:rsid w:val="00123209"/>
    <w:rsid w:val="001373D3"/>
    <w:rsid w:val="001454BC"/>
    <w:rsid w:val="0014641B"/>
    <w:rsid w:val="00162A8D"/>
    <w:rsid w:val="001662B6"/>
    <w:rsid w:val="00176220"/>
    <w:rsid w:val="00181378"/>
    <w:rsid w:val="001B0353"/>
    <w:rsid w:val="001B25B3"/>
    <w:rsid w:val="001C57EE"/>
    <w:rsid w:val="001E195B"/>
    <w:rsid w:val="001F2BBB"/>
    <w:rsid w:val="00201EFE"/>
    <w:rsid w:val="00214DBF"/>
    <w:rsid w:val="00215015"/>
    <w:rsid w:val="0024557E"/>
    <w:rsid w:val="002932DC"/>
    <w:rsid w:val="002B3332"/>
    <w:rsid w:val="002C1CA1"/>
    <w:rsid w:val="002D0C4F"/>
    <w:rsid w:val="002D54E2"/>
    <w:rsid w:val="00310ED4"/>
    <w:rsid w:val="0031492A"/>
    <w:rsid w:val="00316C1A"/>
    <w:rsid w:val="00331013"/>
    <w:rsid w:val="003341CA"/>
    <w:rsid w:val="003731B3"/>
    <w:rsid w:val="003C3D19"/>
    <w:rsid w:val="00436828"/>
    <w:rsid w:val="0044690C"/>
    <w:rsid w:val="004510B9"/>
    <w:rsid w:val="00474063"/>
    <w:rsid w:val="004868B7"/>
    <w:rsid w:val="004A4C61"/>
    <w:rsid w:val="004B3F64"/>
    <w:rsid w:val="004D6BC5"/>
    <w:rsid w:val="005024B5"/>
    <w:rsid w:val="00513540"/>
    <w:rsid w:val="00513720"/>
    <w:rsid w:val="00534A2E"/>
    <w:rsid w:val="0057396F"/>
    <w:rsid w:val="005747B5"/>
    <w:rsid w:val="00575BF9"/>
    <w:rsid w:val="005B50D7"/>
    <w:rsid w:val="005D1F34"/>
    <w:rsid w:val="005F36BE"/>
    <w:rsid w:val="005F4789"/>
    <w:rsid w:val="005F7015"/>
    <w:rsid w:val="0061324D"/>
    <w:rsid w:val="006A6BB3"/>
    <w:rsid w:val="006B2544"/>
    <w:rsid w:val="006C6741"/>
    <w:rsid w:val="006D5EE5"/>
    <w:rsid w:val="00732CE4"/>
    <w:rsid w:val="00740E26"/>
    <w:rsid w:val="007606CC"/>
    <w:rsid w:val="00770DCB"/>
    <w:rsid w:val="00775485"/>
    <w:rsid w:val="008724DE"/>
    <w:rsid w:val="00875588"/>
    <w:rsid w:val="008B3662"/>
    <w:rsid w:val="008B4C13"/>
    <w:rsid w:val="008D6140"/>
    <w:rsid w:val="008E3D60"/>
    <w:rsid w:val="008E675D"/>
    <w:rsid w:val="0090165F"/>
    <w:rsid w:val="00944ABD"/>
    <w:rsid w:val="00966C2F"/>
    <w:rsid w:val="009B0FD7"/>
    <w:rsid w:val="009C678D"/>
    <w:rsid w:val="00A0406E"/>
    <w:rsid w:val="00A31DE9"/>
    <w:rsid w:val="00A32F15"/>
    <w:rsid w:val="00A41355"/>
    <w:rsid w:val="00A43B92"/>
    <w:rsid w:val="00A6179E"/>
    <w:rsid w:val="00A9225B"/>
    <w:rsid w:val="00AB209B"/>
    <w:rsid w:val="00B0666A"/>
    <w:rsid w:val="00B10447"/>
    <w:rsid w:val="00B15F40"/>
    <w:rsid w:val="00B277E0"/>
    <w:rsid w:val="00B455AD"/>
    <w:rsid w:val="00B53A65"/>
    <w:rsid w:val="00BA262D"/>
    <w:rsid w:val="00BD400C"/>
    <w:rsid w:val="00BF1C1B"/>
    <w:rsid w:val="00C00DC8"/>
    <w:rsid w:val="00C25BDA"/>
    <w:rsid w:val="00C71D32"/>
    <w:rsid w:val="00C76D13"/>
    <w:rsid w:val="00C87F1C"/>
    <w:rsid w:val="00C92640"/>
    <w:rsid w:val="00CA0D78"/>
    <w:rsid w:val="00D1390E"/>
    <w:rsid w:val="00D41C6C"/>
    <w:rsid w:val="00D41D47"/>
    <w:rsid w:val="00D65207"/>
    <w:rsid w:val="00D65C76"/>
    <w:rsid w:val="00D65C9F"/>
    <w:rsid w:val="00DA2F73"/>
    <w:rsid w:val="00DC462F"/>
    <w:rsid w:val="00DE047A"/>
    <w:rsid w:val="00DF3E39"/>
    <w:rsid w:val="00E14A38"/>
    <w:rsid w:val="00E24FA3"/>
    <w:rsid w:val="00E36B41"/>
    <w:rsid w:val="00E45954"/>
    <w:rsid w:val="00EE50BC"/>
    <w:rsid w:val="00F14C6D"/>
    <w:rsid w:val="00FA6159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A971AF"/>
  <w15:docId w15:val="{D13DB83A-6B87-4D19-AEEC-4A2062FD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E9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ListParagraph">
    <w:name w:val="List Paragraph"/>
    <w:basedOn w:val="Normal"/>
    <w:uiPriority w:val="34"/>
    <w:qFormat/>
    <w:rsid w:val="00732C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0B26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B2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6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B2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268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0B26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umanrights.gov.au/human-rights-education-and-training" TargetMode="External"/><Relationship Id="rId2" Type="http://schemas.openxmlformats.org/officeDocument/2006/relationships/hyperlink" Target="https://www.humanrights.gov.au/education/aps-human-rights-network" TargetMode="External"/><Relationship Id="rId1" Type="http://schemas.openxmlformats.org/officeDocument/2006/relationships/hyperlink" Target="http://www.ag.gov.au/Consultations/Documents/NationalHumanRightsActionPlan/National%20Human%20Rights%20Pla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BD1F-582F-44C0-840B-AA8585C1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43</TotalTime>
  <Pages>2</Pages>
  <Words>385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Akhil Abraham</dc:creator>
  <cp:lastModifiedBy>Helen Potts</cp:lastModifiedBy>
  <cp:revision>11</cp:revision>
  <cp:lastPrinted>2015-06-26T01:00:00Z</cp:lastPrinted>
  <dcterms:created xsi:type="dcterms:W3CDTF">2015-06-16T02:26:00Z</dcterms:created>
  <dcterms:modified xsi:type="dcterms:W3CDTF">2015-06-26T01:00:00Z</dcterms:modified>
</cp:coreProperties>
</file>