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13" w:rsidRDefault="00A742CA" w:rsidP="00745BDC">
      <w:pPr>
        <w:spacing w:before="360" w:after="0"/>
      </w:pPr>
      <w:r>
        <w:t>27</w:t>
      </w:r>
      <w:r w:rsidR="00C04006">
        <w:t xml:space="preserve"> April 2015</w:t>
      </w:r>
    </w:p>
    <w:p w:rsidR="009709E5" w:rsidRDefault="009709E5" w:rsidP="00745BDC">
      <w:pPr>
        <w:spacing w:before="0" w:after="0"/>
      </w:pPr>
    </w:p>
    <w:p w:rsidR="00031A24" w:rsidRDefault="00C04006" w:rsidP="00745BDC">
      <w:pPr>
        <w:spacing w:before="0" w:after="0"/>
        <w:rPr>
          <w:lang w:val="en"/>
        </w:rPr>
      </w:pPr>
      <w:r>
        <w:rPr>
          <w:lang w:val="en"/>
        </w:rPr>
        <w:t>Select Committee on the Recent Allegations relating to Conditions and Circumstances at the Regional Processing Centre in Nauru</w:t>
      </w:r>
      <w:r>
        <w:rPr>
          <w:lang w:val="en"/>
        </w:rPr>
        <w:br/>
        <w:t>PO Box 6100</w:t>
      </w:r>
      <w:r>
        <w:rPr>
          <w:lang w:val="en"/>
        </w:rPr>
        <w:br/>
        <w:t>Parliament House</w:t>
      </w:r>
      <w:r>
        <w:rPr>
          <w:lang w:val="en"/>
        </w:rPr>
        <w:br/>
        <w:t>Australia ACT 2600</w:t>
      </w:r>
    </w:p>
    <w:p w:rsidR="00F84BE4" w:rsidRDefault="00F84BE4" w:rsidP="00745BDC">
      <w:pPr>
        <w:spacing w:before="0" w:after="0"/>
        <w:rPr>
          <w:lang w:val="en"/>
        </w:rPr>
      </w:pPr>
    </w:p>
    <w:p w:rsidR="00F84BE4" w:rsidRDefault="00F84BE4" w:rsidP="00745BDC">
      <w:pPr>
        <w:spacing w:before="0" w:after="0"/>
      </w:pPr>
      <w:r>
        <w:rPr>
          <w:lang w:val="en"/>
        </w:rPr>
        <w:t xml:space="preserve">By email: </w:t>
      </w:r>
      <w:hyperlink r:id="rId8" w:history="1">
        <w:r w:rsidRPr="00F84BE4">
          <w:t>regionalprocessingnauru.sen@aph.gov.au</w:t>
        </w:r>
      </w:hyperlink>
    </w:p>
    <w:p w:rsidR="00031A24" w:rsidRDefault="00031A24" w:rsidP="00745BDC">
      <w:pPr>
        <w:spacing w:before="0" w:after="0"/>
      </w:pPr>
    </w:p>
    <w:p w:rsidR="002D0C4F" w:rsidRDefault="002D0C4F" w:rsidP="00745BDC">
      <w:pPr>
        <w:spacing w:before="0"/>
      </w:pPr>
      <w:r w:rsidRPr="005C2BA2">
        <w:t>Dea</w:t>
      </w:r>
      <w:r>
        <w:t xml:space="preserve">r </w:t>
      </w:r>
      <w:r w:rsidR="00C04006">
        <w:t>Chair</w:t>
      </w:r>
      <w:r w:rsidR="00B802E5">
        <w:t>,</w:t>
      </w:r>
    </w:p>
    <w:p w:rsidR="00181378" w:rsidRDefault="00C04006" w:rsidP="00745BDC">
      <w:pPr>
        <w:jc w:val="both"/>
        <w:rPr>
          <w:b/>
        </w:rPr>
      </w:pPr>
      <w:r>
        <w:rPr>
          <w:b/>
        </w:rPr>
        <w:t xml:space="preserve">Inquiry into the </w:t>
      </w:r>
      <w:r w:rsidRPr="00C04006">
        <w:rPr>
          <w:b/>
        </w:rPr>
        <w:t>responsibilities of the Commonwealth Government in connection with the management and operation of the Regi</w:t>
      </w:r>
      <w:r>
        <w:rPr>
          <w:b/>
        </w:rPr>
        <w:t>onal Processing Centre in Nauru</w:t>
      </w:r>
    </w:p>
    <w:p w:rsidR="0083511A" w:rsidRPr="00354D7C" w:rsidRDefault="00D43D16" w:rsidP="002172B7">
      <w:pPr>
        <w:spacing w:before="0" w:after="120"/>
        <w:jc w:val="both"/>
      </w:pPr>
      <w:r>
        <w:t xml:space="preserve">The Commission </w:t>
      </w:r>
      <w:r w:rsidR="00640C6B">
        <w:t>has</w:t>
      </w:r>
      <w:r w:rsidR="002B45B2">
        <w:t xml:space="preserve"> held</w:t>
      </w:r>
      <w:r w:rsidR="00640C6B">
        <w:t xml:space="preserve"> long-standing</w:t>
      </w:r>
      <w:r>
        <w:t xml:space="preserve"> concerns </w:t>
      </w:r>
      <w:r w:rsidR="00F1449A">
        <w:t>regarding the transfer</w:t>
      </w:r>
      <w:r w:rsidR="000F74CA">
        <w:t xml:space="preserve"> to</w:t>
      </w:r>
      <w:r w:rsidR="00F1449A">
        <w:t xml:space="preserve"> and detention of asylum seekers </w:t>
      </w:r>
      <w:r w:rsidR="000F74CA">
        <w:t>in Nauru</w:t>
      </w:r>
      <w:r w:rsidR="00640C6B">
        <w:t>.</w:t>
      </w:r>
      <w:r w:rsidR="00CC6AE9">
        <w:t xml:space="preserve"> The </w:t>
      </w:r>
      <w:r w:rsidR="00B206E0">
        <w:t xml:space="preserve">conditions in which asylum seekers are detained </w:t>
      </w:r>
      <w:r w:rsidR="00FE1143">
        <w:t xml:space="preserve">in the Regional Processing Centre (RPC) </w:t>
      </w:r>
      <w:r w:rsidR="00B206E0">
        <w:t xml:space="preserve">and the indefinite nature of </w:t>
      </w:r>
      <w:r w:rsidR="00F27B1B">
        <w:t xml:space="preserve">their </w:t>
      </w:r>
      <w:r w:rsidR="00B206E0">
        <w:t>detention are inconsistent with fundamental human rig</w:t>
      </w:r>
      <w:r w:rsidR="00663856">
        <w:t>hts.</w:t>
      </w:r>
      <w:r w:rsidR="00CC6AE9">
        <w:t xml:space="preserve"> </w:t>
      </w:r>
      <w:r w:rsidR="00811C24" w:rsidRPr="00354D7C">
        <w:t xml:space="preserve">The Commission refers the Committee to the </w:t>
      </w:r>
      <w:r w:rsidR="0083511A" w:rsidRPr="00354D7C">
        <w:t>concerns set out in:</w:t>
      </w:r>
    </w:p>
    <w:p w:rsidR="00640C6B" w:rsidRPr="001726AA" w:rsidRDefault="0083511A" w:rsidP="0061005F">
      <w:pPr>
        <w:pStyle w:val="ListParagraph"/>
        <w:numPr>
          <w:ilvl w:val="0"/>
          <w:numId w:val="31"/>
        </w:numPr>
        <w:spacing w:before="0" w:after="120"/>
        <w:ind w:left="426" w:hanging="284"/>
        <w:contextualSpacing w:val="0"/>
        <w:jc w:val="both"/>
      </w:pPr>
      <w:r w:rsidRPr="00354D7C">
        <w:t xml:space="preserve">Chapter 12 of the Commission’s report </w:t>
      </w:r>
      <w:r w:rsidRPr="00354D7C">
        <w:rPr>
          <w:i/>
        </w:rPr>
        <w:t>The Forgotten Children: National Inquiry into Children in Immigration Detention</w:t>
      </w:r>
      <w:r w:rsidR="00866BB8" w:rsidRPr="00354D7C">
        <w:rPr>
          <w:i/>
        </w:rPr>
        <w:t xml:space="preserve"> 2014</w:t>
      </w:r>
      <w:r w:rsidR="000C6982" w:rsidRPr="0010589D">
        <w:rPr>
          <w:rStyle w:val="EndnoteReference"/>
        </w:rPr>
        <w:endnoteReference w:id="1"/>
      </w:r>
    </w:p>
    <w:p w:rsidR="00866BB8" w:rsidRPr="00354D7C" w:rsidRDefault="00866BB8" w:rsidP="0061005F">
      <w:pPr>
        <w:pStyle w:val="ListParagraph"/>
        <w:numPr>
          <w:ilvl w:val="0"/>
          <w:numId w:val="31"/>
        </w:numPr>
        <w:spacing w:before="0" w:after="120"/>
        <w:ind w:left="426" w:hanging="284"/>
        <w:contextualSpacing w:val="0"/>
        <w:jc w:val="both"/>
      </w:pPr>
      <w:r w:rsidRPr="00354D7C">
        <w:t>The Commission’s submission to the Parliamentary Joint Committee on Human Rights</w:t>
      </w:r>
      <w:r w:rsidR="00360344" w:rsidRPr="00354D7C">
        <w:t xml:space="preserve"> in relation to the r</w:t>
      </w:r>
      <w:r w:rsidR="0009024D" w:rsidRPr="00354D7C">
        <w:t xml:space="preserve">egional </w:t>
      </w:r>
      <w:r w:rsidR="00360344" w:rsidRPr="00354D7C">
        <w:t>p</w:t>
      </w:r>
      <w:r w:rsidR="0009024D" w:rsidRPr="00354D7C">
        <w:t>rocessin</w:t>
      </w:r>
      <w:r w:rsidR="00360344" w:rsidRPr="00354D7C">
        <w:t>g</w:t>
      </w:r>
      <w:r w:rsidR="0009024D" w:rsidRPr="00354D7C">
        <w:t xml:space="preserve"> legislation</w:t>
      </w:r>
      <w:r w:rsidR="001D36DB" w:rsidRPr="00354D7C">
        <w:rPr>
          <w:rStyle w:val="EndnoteReference"/>
        </w:rPr>
        <w:endnoteReference w:id="2"/>
      </w:r>
    </w:p>
    <w:p w:rsidR="0009024D" w:rsidRPr="00354D7C" w:rsidRDefault="0009024D" w:rsidP="0061005F">
      <w:pPr>
        <w:pStyle w:val="ListParagraph"/>
        <w:numPr>
          <w:ilvl w:val="0"/>
          <w:numId w:val="31"/>
        </w:numPr>
        <w:spacing w:before="0" w:after="120"/>
        <w:ind w:left="426" w:hanging="284"/>
        <w:contextualSpacing w:val="0"/>
        <w:jc w:val="both"/>
      </w:pPr>
      <w:r w:rsidRPr="00354D7C">
        <w:t xml:space="preserve">Chapter 3 of the Commission’s report </w:t>
      </w:r>
      <w:r w:rsidRPr="00354D7C">
        <w:rPr>
          <w:i/>
        </w:rPr>
        <w:t>Asylum seekers, refugees and human rights: snapshot report 2013</w:t>
      </w:r>
      <w:r w:rsidR="001D0379" w:rsidRPr="00354D7C">
        <w:rPr>
          <w:rStyle w:val="EndnoteReference"/>
        </w:rPr>
        <w:endnoteReference w:id="3"/>
      </w:r>
    </w:p>
    <w:p w:rsidR="00083323" w:rsidRDefault="00776F45" w:rsidP="0061005F">
      <w:pPr>
        <w:pStyle w:val="ListParagraph"/>
        <w:numPr>
          <w:ilvl w:val="0"/>
          <w:numId w:val="31"/>
        </w:numPr>
        <w:spacing w:before="0" w:after="120"/>
        <w:ind w:left="426" w:hanging="284"/>
        <w:contextualSpacing w:val="0"/>
        <w:jc w:val="both"/>
        <w:rPr>
          <w:i/>
        </w:rPr>
      </w:pPr>
      <w:r w:rsidRPr="00354D7C">
        <w:t xml:space="preserve">The </w:t>
      </w:r>
      <w:r w:rsidR="00083323" w:rsidRPr="00354D7C">
        <w:t>Commission’s paper</w:t>
      </w:r>
      <w:r w:rsidR="00083323" w:rsidRPr="00354D7C">
        <w:rPr>
          <w:i/>
        </w:rPr>
        <w:t xml:space="preserve"> Human rights issues raised by the third country processing regime</w:t>
      </w:r>
      <w:r w:rsidR="000570BF" w:rsidRPr="00354D7C">
        <w:rPr>
          <w:i/>
        </w:rPr>
        <w:t>.</w:t>
      </w:r>
      <w:r w:rsidR="00083323" w:rsidRPr="00354D7C">
        <w:rPr>
          <w:rStyle w:val="EndnoteReference"/>
        </w:rPr>
        <w:endnoteReference w:id="4"/>
      </w:r>
    </w:p>
    <w:p w:rsidR="003C7B67" w:rsidRDefault="007545AE" w:rsidP="003C7B67">
      <w:pPr>
        <w:spacing w:before="0" w:after="0"/>
        <w:jc w:val="both"/>
      </w:pPr>
      <w:r>
        <w:t xml:space="preserve">These concerns highlight the </w:t>
      </w:r>
      <w:r w:rsidR="00AE19A4">
        <w:t xml:space="preserve">serious risks to </w:t>
      </w:r>
      <w:r w:rsidR="003C7B67" w:rsidRPr="00B56DEE">
        <w:t>the rights, health and safety of asylum seekers detained in the RPC</w:t>
      </w:r>
      <w:r>
        <w:t>. Unless these risks</w:t>
      </w:r>
      <w:r w:rsidR="003C7B67" w:rsidRPr="00B56DEE">
        <w:t xml:space="preserve"> are addressed immediately, the Commission recommends that the Australian Government transfer all asylum seekers detained in the RPC to Australia.</w:t>
      </w:r>
    </w:p>
    <w:p w:rsidR="00262DFE" w:rsidRDefault="00262DFE" w:rsidP="00745BDC">
      <w:pPr>
        <w:jc w:val="both"/>
        <w:rPr>
          <w:i/>
        </w:rPr>
      </w:pPr>
      <w:r w:rsidRPr="00262DFE">
        <w:rPr>
          <w:i/>
        </w:rPr>
        <w:t>Australia’s responsibility under international law</w:t>
      </w:r>
    </w:p>
    <w:p w:rsidR="00262DFE" w:rsidRPr="00262DFE" w:rsidRDefault="00262DFE" w:rsidP="00745BDC">
      <w:pPr>
        <w:jc w:val="both"/>
      </w:pPr>
      <w:r w:rsidRPr="00262DFE">
        <w:t xml:space="preserve">Australia </w:t>
      </w:r>
      <w:r w:rsidRPr="00262DFE">
        <w:rPr>
          <w:lang w:val="en"/>
        </w:rPr>
        <w:t>cannot avoid its human rights obligations under international law by transferring asylum seekers to a third country.</w:t>
      </w:r>
      <w:r w:rsidRPr="00262DFE">
        <w:rPr>
          <w:vertAlign w:val="superscript"/>
          <w:lang w:val="en"/>
        </w:rPr>
        <w:endnoteReference w:id="5"/>
      </w:r>
      <w:r w:rsidRPr="00262DFE">
        <w:rPr>
          <w:lang w:val="en"/>
        </w:rPr>
        <w:t xml:space="preserve"> If Australia has ‘effective control’ over asylum seekers whom it has transferred to another country, or over a regional processing centre to which they have been transferred, then it is bound to continue to treat them consistently with human rights treaties to which Australia is a party.</w:t>
      </w:r>
      <w:r w:rsidRPr="00262DFE">
        <w:rPr>
          <w:vertAlign w:val="superscript"/>
          <w:lang w:val="en"/>
        </w:rPr>
        <w:endnoteReference w:id="6"/>
      </w:r>
      <w:r w:rsidRPr="00262DFE">
        <w:rPr>
          <w:lang w:val="en"/>
        </w:rPr>
        <w:t xml:space="preserve"> </w:t>
      </w:r>
      <w:r w:rsidR="003A370B" w:rsidRPr="00354D7C">
        <w:rPr>
          <w:lang w:val="en"/>
        </w:rPr>
        <w:t xml:space="preserve">For </w:t>
      </w:r>
      <w:r w:rsidR="003A370B" w:rsidRPr="00354D7C">
        <w:rPr>
          <w:lang w:val="en"/>
        </w:rPr>
        <w:lastRenderedPageBreak/>
        <w:t xml:space="preserve">further discussion </w:t>
      </w:r>
      <w:r w:rsidR="00C3142A" w:rsidRPr="00354D7C">
        <w:rPr>
          <w:lang w:val="en"/>
        </w:rPr>
        <w:t xml:space="preserve">on this point </w:t>
      </w:r>
      <w:r w:rsidR="003A370B" w:rsidRPr="00354D7C">
        <w:rPr>
          <w:lang w:val="en"/>
        </w:rPr>
        <w:t>please</w:t>
      </w:r>
      <w:r w:rsidR="000570BF" w:rsidRPr="00354D7C">
        <w:rPr>
          <w:lang w:val="en"/>
        </w:rPr>
        <w:t xml:space="preserve"> see </w:t>
      </w:r>
      <w:r w:rsidR="0037737D" w:rsidRPr="00354D7C">
        <w:rPr>
          <w:lang w:val="en"/>
        </w:rPr>
        <w:t xml:space="preserve">section 5 of </w:t>
      </w:r>
      <w:r w:rsidR="00251597" w:rsidRPr="00354D7C">
        <w:rPr>
          <w:lang w:val="en"/>
        </w:rPr>
        <w:t xml:space="preserve">the </w:t>
      </w:r>
      <w:r w:rsidR="000570BF" w:rsidRPr="00354D7C">
        <w:rPr>
          <w:lang w:val="en"/>
        </w:rPr>
        <w:t>Commission</w:t>
      </w:r>
      <w:r w:rsidR="00251597" w:rsidRPr="00354D7C">
        <w:rPr>
          <w:lang w:val="en"/>
        </w:rPr>
        <w:t>’s</w:t>
      </w:r>
      <w:r w:rsidR="000570BF" w:rsidRPr="00354D7C">
        <w:rPr>
          <w:lang w:val="en"/>
        </w:rPr>
        <w:t xml:space="preserve"> submission to </w:t>
      </w:r>
      <w:r w:rsidR="00251597" w:rsidRPr="00354D7C">
        <w:rPr>
          <w:lang w:val="en"/>
        </w:rPr>
        <w:t>the Parliamentary Joint Committee on Human Rights.</w:t>
      </w:r>
      <w:r w:rsidR="00251597" w:rsidRPr="00354D7C">
        <w:rPr>
          <w:rStyle w:val="EndnoteReference"/>
          <w:lang w:val="en"/>
        </w:rPr>
        <w:endnoteReference w:id="7"/>
      </w:r>
    </w:p>
    <w:p w:rsidR="00B257F8" w:rsidRDefault="00B257F8" w:rsidP="00745BDC">
      <w:pPr>
        <w:jc w:val="both"/>
      </w:pPr>
      <w:r w:rsidRPr="00B257F8">
        <w:t xml:space="preserve">The Commission considers that there are a number of factors which would support the conclusion that Australia is exercising effective control over the asylum seekers transferred to and detained </w:t>
      </w:r>
      <w:r>
        <w:t>i</w:t>
      </w:r>
      <w:r w:rsidRPr="00B257F8">
        <w:t xml:space="preserve">n </w:t>
      </w:r>
      <w:r>
        <w:t>Nauru, including the facts that:</w:t>
      </w:r>
    </w:p>
    <w:p w:rsidR="00D04415" w:rsidRDefault="003358F4" w:rsidP="00D04415">
      <w:pPr>
        <w:pStyle w:val="ListParagraph"/>
        <w:numPr>
          <w:ilvl w:val="0"/>
          <w:numId w:val="31"/>
        </w:numPr>
        <w:spacing w:before="0" w:after="120"/>
        <w:ind w:left="426" w:hanging="284"/>
        <w:contextualSpacing w:val="0"/>
        <w:jc w:val="both"/>
        <w:rPr>
          <w:bCs/>
        </w:rPr>
      </w:pPr>
      <w:r w:rsidRPr="003358F4">
        <w:rPr>
          <w:bCs/>
        </w:rPr>
        <w:t xml:space="preserve">In August 2012 the </w:t>
      </w:r>
      <w:r w:rsidRPr="00D04415">
        <w:t>Australian</w:t>
      </w:r>
      <w:r w:rsidRPr="003358F4">
        <w:rPr>
          <w:bCs/>
        </w:rPr>
        <w:t xml:space="preserve"> Government reinstated a system of third country processing for asylum seekers who arrived</w:t>
      </w:r>
      <w:r w:rsidR="00D04415">
        <w:rPr>
          <w:bCs/>
        </w:rPr>
        <w:t xml:space="preserve"> by boat without authorisation.</w:t>
      </w:r>
    </w:p>
    <w:p w:rsidR="003358F4" w:rsidRPr="00D04415" w:rsidRDefault="00797A14" w:rsidP="00D04415">
      <w:pPr>
        <w:pStyle w:val="ListParagraph"/>
        <w:numPr>
          <w:ilvl w:val="0"/>
          <w:numId w:val="31"/>
        </w:numPr>
        <w:spacing w:before="0" w:after="120"/>
        <w:ind w:left="426" w:hanging="284"/>
        <w:contextualSpacing w:val="0"/>
        <w:jc w:val="both"/>
        <w:rPr>
          <w:bCs/>
        </w:rPr>
      </w:pPr>
      <w:r w:rsidRPr="00D04415">
        <w:rPr>
          <w:bCs/>
        </w:rPr>
        <w:t>On 29 August</w:t>
      </w:r>
      <w:r w:rsidR="003358F4" w:rsidRPr="00D04415">
        <w:rPr>
          <w:bCs/>
        </w:rPr>
        <w:t xml:space="preserve"> 2012 the Australian Government signed a Memorandum of U</w:t>
      </w:r>
      <w:r w:rsidRPr="00D04415">
        <w:rPr>
          <w:bCs/>
        </w:rPr>
        <w:t>nderstanding with the Republic of Nauru</w:t>
      </w:r>
      <w:r w:rsidR="003358F4" w:rsidRPr="00D04415">
        <w:rPr>
          <w:bCs/>
        </w:rPr>
        <w:t xml:space="preserve"> ‘relating to the transfer </w:t>
      </w:r>
      <w:r w:rsidRPr="00D04415">
        <w:rPr>
          <w:bCs/>
        </w:rPr>
        <w:t>to and assessment of persons in Nauru</w:t>
      </w:r>
      <w:r w:rsidR="00AF15FC" w:rsidRPr="00D04415">
        <w:rPr>
          <w:bCs/>
        </w:rPr>
        <w:t xml:space="preserve"> and related issues’</w:t>
      </w:r>
      <w:r w:rsidRPr="00D04415">
        <w:rPr>
          <w:bCs/>
        </w:rPr>
        <w:t xml:space="preserve"> </w:t>
      </w:r>
      <w:r w:rsidR="003358F4" w:rsidRPr="00D04415">
        <w:rPr>
          <w:bCs/>
        </w:rPr>
        <w:t>(the 2012 MOU).</w:t>
      </w:r>
      <w:r w:rsidR="003358F4" w:rsidRPr="009A2E9A">
        <w:rPr>
          <w:vertAlign w:val="superscript"/>
        </w:rPr>
        <w:endnoteReference w:id="8"/>
      </w:r>
    </w:p>
    <w:p w:rsidR="003358F4" w:rsidRPr="009A2E9A" w:rsidRDefault="00AF15FC" w:rsidP="00D04415">
      <w:pPr>
        <w:pStyle w:val="ListParagraph"/>
        <w:numPr>
          <w:ilvl w:val="0"/>
          <w:numId w:val="31"/>
        </w:numPr>
        <w:spacing w:before="0" w:after="120"/>
        <w:ind w:left="426" w:hanging="284"/>
        <w:contextualSpacing w:val="0"/>
        <w:jc w:val="both"/>
        <w:rPr>
          <w:rFonts w:cs="Arial"/>
          <w:bCs/>
        </w:rPr>
      </w:pPr>
      <w:r w:rsidRPr="009A2E9A">
        <w:rPr>
          <w:rFonts w:cs="Arial"/>
          <w:bCs/>
        </w:rPr>
        <w:t>On 3 August</w:t>
      </w:r>
      <w:r w:rsidR="003358F4" w:rsidRPr="009A2E9A">
        <w:rPr>
          <w:rFonts w:cs="Arial"/>
          <w:bCs/>
        </w:rPr>
        <w:t xml:space="preserve"> </w:t>
      </w:r>
      <w:r w:rsidR="003358F4" w:rsidRPr="00D04415">
        <w:rPr>
          <w:bCs/>
        </w:rPr>
        <w:t>2013</w:t>
      </w:r>
      <w:r w:rsidR="003358F4" w:rsidRPr="009A2E9A">
        <w:rPr>
          <w:rFonts w:cs="Arial"/>
          <w:bCs/>
        </w:rPr>
        <w:t xml:space="preserve"> the Australian Government entered into a new Memorandum of Understanding with </w:t>
      </w:r>
      <w:r w:rsidRPr="009A2E9A">
        <w:rPr>
          <w:rFonts w:cs="Arial"/>
          <w:bCs/>
        </w:rPr>
        <w:t xml:space="preserve">Nauru which provides that the </w:t>
      </w:r>
      <w:r w:rsidRPr="009A2E9A">
        <w:rPr>
          <w:lang w:val="en"/>
        </w:rPr>
        <w:t>Nauruan Government will enable individuals whom it has determined are in need of international protection to settle in Nauru</w:t>
      </w:r>
      <w:r w:rsidR="00DD4A7D" w:rsidRPr="009A2E9A">
        <w:rPr>
          <w:lang w:val="en"/>
        </w:rPr>
        <w:t xml:space="preserve"> (the 2013 MOU)</w:t>
      </w:r>
      <w:r w:rsidR="003358F4" w:rsidRPr="009A2E9A">
        <w:rPr>
          <w:rFonts w:cs="Arial"/>
          <w:bCs/>
        </w:rPr>
        <w:t>.</w:t>
      </w:r>
      <w:r w:rsidR="003358F4" w:rsidRPr="009A2E9A">
        <w:rPr>
          <w:rStyle w:val="EndnoteReference"/>
        </w:rPr>
        <w:endnoteReference w:id="9"/>
      </w:r>
      <w:r w:rsidR="003358F4" w:rsidRPr="009A2E9A">
        <w:rPr>
          <w:rFonts w:cs="Arial"/>
          <w:bCs/>
        </w:rPr>
        <w:t xml:space="preserve"> The 2013 MOU replaced the 2012 MOU.</w:t>
      </w:r>
    </w:p>
    <w:p w:rsidR="003358F4" w:rsidRPr="009A2E9A" w:rsidRDefault="003358F4" w:rsidP="00D04415">
      <w:pPr>
        <w:pStyle w:val="ListParagraph"/>
        <w:numPr>
          <w:ilvl w:val="0"/>
          <w:numId w:val="31"/>
        </w:numPr>
        <w:spacing w:before="0" w:after="120"/>
        <w:ind w:left="426" w:hanging="284"/>
        <w:contextualSpacing w:val="0"/>
        <w:jc w:val="both"/>
        <w:rPr>
          <w:rFonts w:cs="Arial"/>
          <w:bCs/>
        </w:rPr>
      </w:pPr>
      <w:r w:rsidRPr="009A2E9A">
        <w:rPr>
          <w:rFonts w:cs="Arial"/>
          <w:bCs/>
        </w:rPr>
        <w:t>Both the 2012 MOU and the 2013 MOU:</w:t>
      </w:r>
    </w:p>
    <w:p w:rsidR="003358F4" w:rsidRPr="009A2E9A" w:rsidRDefault="003358F4" w:rsidP="00D04415">
      <w:pPr>
        <w:pStyle w:val="SubmissionNormal"/>
        <w:numPr>
          <w:ilvl w:val="1"/>
          <w:numId w:val="38"/>
        </w:numPr>
        <w:tabs>
          <w:tab w:val="clear" w:pos="1440"/>
          <w:tab w:val="num" w:pos="851"/>
        </w:tabs>
        <w:spacing w:before="0" w:after="120"/>
        <w:ind w:left="851" w:hanging="284"/>
        <w:jc w:val="both"/>
        <w:rPr>
          <w:rFonts w:cs="Arial"/>
          <w:bCs/>
        </w:rPr>
      </w:pPr>
      <w:r w:rsidRPr="009A2E9A">
        <w:rPr>
          <w:rFonts w:cs="Arial"/>
          <w:bCs/>
        </w:rPr>
        <w:t>provided that the Australian Government would bear all costs incurred under those MOUs</w:t>
      </w:r>
    </w:p>
    <w:p w:rsidR="003358F4" w:rsidRPr="009A2E9A" w:rsidRDefault="003358F4" w:rsidP="00D04415">
      <w:pPr>
        <w:pStyle w:val="SubmissionNormal"/>
        <w:numPr>
          <w:ilvl w:val="1"/>
          <w:numId w:val="38"/>
        </w:numPr>
        <w:tabs>
          <w:tab w:val="clear" w:pos="1440"/>
          <w:tab w:val="num" w:pos="851"/>
        </w:tabs>
        <w:spacing w:before="0" w:after="120"/>
        <w:ind w:left="851" w:hanging="284"/>
        <w:jc w:val="both"/>
        <w:rPr>
          <w:rFonts w:cs="Arial"/>
          <w:bCs/>
        </w:rPr>
      </w:pPr>
      <w:r w:rsidRPr="009A2E9A">
        <w:rPr>
          <w:rFonts w:cs="Arial"/>
          <w:bCs/>
        </w:rPr>
        <w:t>contained a ‘commitment’ that both governments would ‘treat Transferees’ or ‘ensure that Transferees are treated’ ‘with dignity and respect</w:t>
      </w:r>
      <w:r w:rsidR="00B53264" w:rsidRPr="009A2E9A">
        <w:rPr>
          <w:rFonts w:cs="Arial"/>
          <w:bCs/>
        </w:rPr>
        <w:t>’</w:t>
      </w:r>
      <w:r w:rsidRPr="009A2E9A">
        <w:rPr>
          <w:rFonts w:cs="Arial"/>
          <w:bCs/>
        </w:rPr>
        <w:t xml:space="preserve"> and in accordance with </w:t>
      </w:r>
      <w:r w:rsidR="00B53264" w:rsidRPr="009A2E9A">
        <w:rPr>
          <w:rFonts w:cs="Arial"/>
          <w:bCs/>
        </w:rPr>
        <w:t>‘</w:t>
      </w:r>
      <w:r w:rsidRPr="009A2E9A">
        <w:rPr>
          <w:rFonts w:cs="Arial"/>
          <w:bCs/>
        </w:rPr>
        <w:t>relevant human rights standards’</w:t>
      </w:r>
    </w:p>
    <w:p w:rsidR="003358F4" w:rsidRPr="009A2E9A" w:rsidRDefault="003358F4" w:rsidP="00D04415">
      <w:pPr>
        <w:pStyle w:val="SubmissionNormal"/>
        <w:numPr>
          <w:ilvl w:val="1"/>
          <w:numId w:val="38"/>
        </w:numPr>
        <w:tabs>
          <w:tab w:val="clear" w:pos="1440"/>
          <w:tab w:val="num" w:pos="851"/>
        </w:tabs>
        <w:spacing w:before="0" w:after="120"/>
        <w:ind w:left="851" w:hanging="284"/>
        <w:jc w:val="both"/>
        <w:rPr>
          <w:rFonts w:cs="Arial"/>
          <w:bCs/>
        </w:rPr>
      </w:pPr>
      <w:r w:rsidRPr="009A2E9A">
        <w:rPr>
          <w:rFonts w:cs="Arial"/>
          <w:bCs/>
        </w:rPr>
        <w:t>provided for the establishment of a Joint Committee, jointly chaired by Australia</w:t>
      </w:r>
      <w:r w:rsidR="00B53264" w:rsidRPr="009A2E9A">
        <w:rPr>
          <w:rFonts w:cs="Arial"/>
          <w:bCs/>
        </w:rPr>
        <w:t>n and Nauruan</w:t>
      </w:r>
      <w:r w:rsidRPr="009A2E9A">
        <w:rPr>
          <w:rFonts w:cs="Arial"/>
          <w:bCs/>
        </w:rPr>
        <w:t xml:space="preserve"> officials, which would have ‘responsibility for the oversight of practical arrangements required to implement this MOU’.</w:t>
      </w:r>
    </w:p>
    <w:p w:rsidR="003358F4" w:rsidRPr="009A2E9A" w:rsidRDefault="00B60904" w:rsidP="00D04415">
      <w:pPr>
        <w:pStyle w:val="ListParagraph"/>
        <w:numPr>
          <w:ilvl w:val="0"/>
          <w:numId w:val="31"/>
        </w:numPr>
        <w:spacing w:before="0" w:after="120"/>
        <w:ind w:left="426" w:hanging="284"/>
        <w:contextualSpacing w:val="0"/>
        <w:jc w:val="both"/>
        <w:rPr>
          <w:rFonts w:cs="Arial"/>
          <w:bCs/>
        </w:rPr>
      </w:pPr>
      <w:r w:rsidRPr="009A2E9A">
        <w:rPr>
          <w:rFonts w:cs="Arial"/>
          <w:bCs/>
        </w:rPr>
        <w:t>It appears that the RPC in Nauru</w:t>
      </w:r>
      <w:r w:rsidR="003358F4" w:rsidRPr="009A2E9A">
        <w:rPr>
          <w:rFonts w:cs="Arial"/>
          <w:bCs/>
        </w:rPr>
        <w:t xml:space="preserve"> is being operated by contractors pursuant to arrangements with Australia, and that those contractors report to Australia about the performance of those contracts.</w:t>
      </w:r>
    </w:p>
    <w:p w:rsidR="00BE5886" w:rsidRPr="00E95795" w:rsidRDefault="00BE5886" w:rsidP="00BE5886">
      <w:pPr>
        <w:jc w:val="both"/>
        <w:rPr>
          <w:bCs/>
          <w:sz w:val="22"/>
          <w:szCs w:val="22"/>
        </w:rPr>
      </w:pPr>
      <w:r w:rsidRPr="009A2E9A">
        <w:rPr>
          <w:rFonts w:cs="Arial"/>
          <w:lang w:val="en"/>
        </w:rPr>
        <w:t>In 2013 t</w:t>
      </w:r>
      <w:r w:rsidR="00E95795" w:rsidRPr="009A2E9A">
        <w:rPr>
          <w:rFonts w:cs="Arial"/>
          <w:lang w:val="en"/>
        </w:rPr>
        <w:t>he Parliamentary Joint Committee on Human Rights (PJCHR) considered detailed ev</w:t>
      </w:r>
      <w:r w:rsidR="00743FDF" w:rsidRPr="009A2E9A">
        <w:rPr>
          <w:rFonts w:cs="Arial"/>
          <w:lang w:val="en"/>
        </w:rPr>
        <w:t>idence regarding</w:t>
      </w:r>
      <w:r w:rsidR="00E95795" w:rsidRPr="009A2E9A">
        <w:rPr>
          <w:rFonts w:cs="Arial"/>
          <w:lang w:val="en"/>
        </w:rPr>
        <w:t xml:space="preserve"> Australia’s </w:t>
      </w:r>
      <w:r w:rsidR="00E95795" w:rsidRPr="009A2E9A">
        <w:t>responsibility</w:t>
      </w:r>
      <w:r w:rsidR="00E95795" w:rsidRPr="009A2E9A">
        <w:rPr>
          <w:rFonts w:cs="Arial"/>
          <w:lang w:val="en"/>
        </w:rPr>
        <w:t xml:space="preserve"> for the treatment of asylum seekers </w:t>
      </w:r>
      <w:r w:rsidR="00743FDF" w:rsidRPr="009A2E9A">
        <w:rPr>
          <w:rFonts w:cs="Arial"/>
          <w:lang w:val="en"/>
        </w:rPr>
        <w:t xml:space="preserve">detained in Nauru during </w:t>
      </w:r>
      <w:r w:rsidR="00BF2E16">
        <w:rPr>
          <w:rFonts w:cs="Arial"/>
          <w:lang w:val="en"/>
        </w:rPr>
        <w:t>its examination of Australia’s regional processing</w:t>
      </w:r>
      <w:r w:rsidR="00E95795" w:rsidRPr="009A2E9A">
        <w:rPr>
          <w:rFonts w:cs="Arial"/>
          <w:lang w:val="en"/>
        </w:rPr>
        <w:t xml:space="preserve"> regime.</w:t>
      </w:r>
      <w:r w:rsidR="00E95795" w:rsidRPr="00E95795">
        <w:rPr>
          <w:rFonts w:cs="Arial"/>
          <w:lang w:val="en"/>
        </w:rPr>
        <w:t xml:space="preserve"> </w:t>
      </w:r>
      <w:r w:rsidR="00F61234">
        <w:rPr>
          <w:rFonts w:cs="Arial"/>
          <w:lang w:val="en"/>
        </w:rPr>
        <w:t>T</w:t>
      </w:r>
      <w:r w:rsidR="00E95795" w:rsidRPr="00E95795">
        <w:rPr>
          <w:rFonts w:cs="Arial"/>
          <w:lang w:val="en"/>
        </w:rPr>
        <w:t>he PJCHR concluded that ‘the evidence demonstrates that Australia could be viewed as exercising “effective control” of the arrangements relating to the treatment of persons transferred to Manus Island or Nauru’.</w:t>
      </w:r>
      <w:r>
        <w:rPr>
          <w:rStyle w:val="EndnoteReference"/>
          <w:rFonts w:cs="Arial"/>
          <w:lang w:val="en"/>
        </w:rPr>
        <w:endnoteReference w:id="10"/>
      </w:r>
    </w:p>
    <w:p w:rsidR="00BE5886" w:rsidRPr="009A2E9A" w:rsidRDefault="00BE5886" w:rsidP="00745BDC">
      <w:pPr>
        <w:jc w:val="both"/>
        <w:rPr>
          <w:bCs/>
        </w:rPr>
      </w:pPr>
      <w:r w:rsidRPr="009A2E9A">
        <w:rPr>
          <w:bCs/>
        </w:rPr>
        <w:t>The PJCHR further concluded that:</w:t>
      </w:r>
    </w:p>
    <w:p w:rsidR="00BE5886" w:rsidRPr="009A2E9A" w:rsidRDefault="00BE5886" w:rsidP="00114502">
      <w:pPr>
        <w:ind w:left="567"/>
        <w:jc w:val="both"/>
        <w:rPr>
          <w:bCs/>
          <w:sz w:val="22"/>
          <w:szCs w:val="22"/>
        </w:rPr>
      </w:pPr>
      <w:r w:rsidRPr="009A2E9A">
        <w:rPr>
          <w:bCs/>
          <w:sz w:val="22"/>
          <w:szCs w:val="22"/>
        </w:rPr>
        <w:t>Whether or not Australia’s involvement is sufficient to reach the level of ‘effective control’, the committee considers that the level of Australia’s involvement gives rise to Australia’s responsibility under international law in relation to internationally wrongful acts that may be involved in the treatment of asylum seekers in those countries. Such responsibility arises irrespective of whether Papua New Guinea or Nauru might also be jointly responsible in relation to the same acts.</w:t>
      </w:r>
      <w:r w:rsidR="004C2543">
        <w:rPr>
          <w:rStyle w:val="EndnoteReference"/>
          <w:bCs/>
          <w:szCs w:val="22"/>
        </w:rPr>
        <w:endnoteReference w:id="11"/>
      </w:r>
    </w:p>
    <w:p w:rsidR="00BE5886" w:rsidRPr="009A2E9A" w:rsidRDefault="00BE5886" w:rsidP="00745BDC">
      <w:pPr>
        <w:jc w:val="both"/>
        <w:rPr>
          <w:bCs/>
        </w:rPr>
      </w:pPr>
      <w:r w:rsidRPr="009A2E9A">
        <w:rPr>
          <w:lang w:val="en"/>
        </w:rPr>
        <w:t xml:space="preserve">The United Nations High Commissioner for Refugees (UNHCR) has come to a similar conclusion to the PJCHR regarding Australia’s responsibility under international law for the treatment of asylum seekers in the RPC in Nauru. </w:t>
      </w:r>
      <w:r w:rsidRPr="009A2E9A">
        <w:rPr>
          <w:bCs/>
        </w:rPr>
        <w:t>In its report following its mission to Nauru in October 2013, UNCHR stated that:</w:t>
      </w:r>
    </w:p>
    <w:p w:rsidR="0077592E" w:rsidRDefault="00BE5886" w:rsidP="00CC1A5F">
      <w:pPr>
        <w:pStyle w:val="Default"/>
        <w:ind w:left="567"/>
        <w:rPr>
          <w:sz w:val="22"/>
          <w:szCs w:val="22"/>
        </w:rPr>
      </w:pPr>
      <w:r w:rsidRPr="009A2E9A">
        <w:rPr>
          <w:sz w:val="22"/>
          <w:szCs w:val="22"/>
        </w:rPr>
        <w:lastRenderedPageBreak/>
        <w:t>both Australia and Nauru have shared and joint responsibility to ensure that the treatment of all transferred asylum-seekers is fully compatible with their respective obligations under the 1951 Convention and other applicable international instruments.</w:t>
      </w:r>
      <w:r w:rsidRPr="009A2E9A">
        <w:rPr>
          <w:rStyle w:val="EndnoteReference"/>
          <w:sz w:val="22"/>
          <w:szCs w:val="22"/>
        </w:rPr>
        <w:endnoteReference w:id="12"/>
      </w:r>
      <w:r w:rsidRPr="00114502">
        <w:rPr>
          <w:sz w:val="22"/>
          <w:szCs w:val="22"/>
        </w:rPr>
        <w:t xml:space="preserve"> </w:t>
      </w:r>
    </w:p>
    <w:p w:rsidR="004F24D3" w:rsidRPr="004F24D3" w:rsidRDefault="004F24D3" w:rsidP="004F24D3">
      <w:pPr>
        <w:jc w:val="both"/>
        <w:rPr>
          <w:bCs/>
        </w:rPr>
      </w:pPr>
      <w:r>
        <w:rPr>
          <w:bCs/>
        </w:rPr>
        <w:t>In 2014</w:t>
      </w:r>
      <w:r w:rsidRPr="003A370B">
        <w:rPr>
          <w:bCs/>
        </w:rPr>
        <w:t xml:space="preserve"> the</w:t>
      </w:r>
      <w:r>
        <w:rPr>
          <w:bCs/>
        </w:rPr>
        <w:t xml:space="preserve"> United Nations</w:t>
      </w:r>
      <w:r w:rsidRPr="003A370B">
        <w:rPr>
          <w:bCs/>
        </w:rPr>
        <w:t xml:space="preserve"> Committee Against Torture viewed Australia to have effective control over asylum seekers transferred to Papua New Guinea and Nauru because the centres are run with financial aid and the involvement of private contractors of its choice.</w:t>
      </w:r>
      <w:r w:rsidRPr="003A370B">
        <w:rPr>
          <w:bCs/>
          <w:vertAlign w:val="superscript"/>
        </w:rPr>
        <w:endnoteReference w:id="13"/>
      </w:r>
      <w:r w:rsidRPr="003A370B">
        <w:rPr>
          <w:bCs/>
        </w:rPr>
        <w:t xml:space="preserve"> </w:t>
      </w:r>
    </w:p>
    <w:p w:rsidR="00262DFE" w:rsidRPr="00262DFE" w:rsidRDefault="002B45B2" w:rsidP="00745BDC">
      <w:pPr>
        <w:jc w:val="both"/>
        <w:rPr>
          <w:i/>
        </w:rPr>
      </w:pPr>
      <w:r>
        <w:rPr>
          <w:i/>
        </w:rPr>
        <w:t>D</w:t>
      </w:r>
      <w:r w:rsidR="00262DFE">
        <w:rPr>
          <w:i/>
        </w:rPr>
        <w:t xml:space="preserve">etention </w:t>
      </w:r>
      <w:r w:rsidR="009E3F99">
        <w:rPr>
          <w:i/>
        </w:rPr>
        <w:t xml:space="preserve">of </w:t>
      </w:r>
      <w:r w:rsidR="00262DFE">
        <w:rPr>
          <w:i/>
        </w:rPr>
        <w:t xml:space="preserve">children </w:t>
      </w:r>
      <w:r w:rsidR="00256AF4">
        <w:rPr>
          <w:i/>
        </w:rPr>
        <w:t xml:space="preserve">in the </w:t>
      </w:r>
      <w:r w:rsidR="00B21EC3">
        <w:rPr>
          <w:i/>
        </w:rPr>
        <w:t>Regional P</w:t>
      </w:r>
      <w:r w:rsidR="00256AF4">
        <w:rPr>
          <w:i/>
        </w:rPr>
        <w:t>rocessin</w:t>
      </w:r>
      <w:r w:rsidR="00B21EC3">
        <w:rPr>
          <w:i/>
        </w:rPr>
        <w:t>g C</w:t>
      </w:r>
      <w:r w:rsidR="00256AF4">
        <w:rPr>
          <w:i/>
        </w:rPr>
        <w:t>entre</w:t>
      </w:r>
    </w:p>
    <w:p w:rsidR="00640C6B" w:rsidRDefault="00ED0983" w:rsidP="00745BDC">
      <w:pPr>
        <w:jc w:val="both"/>
      </w:pPr>
      <w:r>
        <w:t>In 2014</w:t>
      </w:r>
      <w:r w:rsidR="00640C6B">
        <w:t xml:space="preserve"> the Commission conducted a National Inquiry into Children in Immigration Detention. The scope of the </w:t>
      </w:r>
      <w:r w:rsidR="00B72A37">
        <w:t>I</w:t>
      </w:r>
      <w:r w:rsidR="00640C6B">
        <w:t xml:space="preserve">nquiry included children held </w:t>
      </w:r>
      <w:r w:rsidR="00D857CF">
        <w:t>in the RPC i</w:t>
      </w:r>
      <w:r w:rsidR="00640C6B">
        <w:t xml:space="preserve">n Nauru. </w:t>
      </w:r>
    </w:p>
    <w:p w:rsidR="00834BA8" w:rsidRDefault="00C76FE3" w:rsidP="009E6D21">
      <w:pPr>
        <w:spacing w:before="0" w:after="120"/>
        <w:jc w:val="both"/>
      </w:pPr>
      <w:r w:rsidRPr="00C76FE3">
        <w:t xml:space="preserve">The Inquiry team did not visit Nauru, but accepted evidence from people with first-hand experience of the situation </w:t>
      </w:r>
      <w:r w:rsidR="00670024">
        <w:t xml:space="preserve">in the </w:t>
      </w:r>
      <w:r w:rsidR="00FE1143">
        <w:t xml:space="preserve">RPC </w:t>
      </w:r>
      <w:r w:rsidR="00F70FB1">
        <w:t>i</w:t>
      </w:r>
      <w:r w:rsidRPr="00C76FE3">
        <w:t xml:space="preserve">n Nauru. </w:t>
      </w:r>
      <w:r w:rsidR="00834BA8">
        <w:t>This included:</w:t>
      </w:r>
    </w:p>
    <w:p w:rsidR="00834BA8" w:rsidRDefault="00FE1143" w:rsidP="00236C4F">
      <w:pPr>
        <w:pStyle w:val="ListParagraph"/>
        <w:numPr>
          <w:ilvl w:val="0"/>
          <w:numId w:val="31"/>
        </w:numPr>
        <w:spacing w:before="0" w:after="120"/>
        <w:ind w:left="426" w:hanging="284"/>
        <w:contextualSpacing w:val="0"/>
        <w:jc w:val="both"/>
      </w:pPr>
      <w:r>
        <w:t>e</w:t>
      </w:r>
      <w:r w:rsidR="00834BA8">
        <w:t>vidence at the Commission’s public hearings from d</w:t>
      </w:r>
      <w:r w:rsidR="00E5221E">
        <w:t>octors who had worked i</w:t>
      </w:r>
      <w:r w:rsidR="00E00D57">
        <w:t>n Nauru</w:t>
      </w:r>
      <w:r w:rsidR="002A7D17">
        <w:rPr>
          <w:rStyle w:val="EndnoteReference"/>
        </w:rPr>
        <w:endnoteReference w:id="14"/>
      </w:r>
    </w:p>
    <w:p w:rsidR="00834BA8" w:rsidRDefault="00C76FE3" w:rsidP="00236C4F">
      <w:pPr>
        <w:pStyle w:val="ListParagraph"/>
        <w:numPr>
          <w:ilvl w:val="0"/>
          <w:numId w:val="31"/>
        </w:numPr>
        <w:spacing w:before="0" w:after="120"/>
        <w:ind w:left="426" w:hanging="284"/>
        <w:contextualSpacing w:val="0"/>
        <w:jc w:val="both"/>
      </w:pPr>
      <w:r w:rsidRPr="00C76FE3">
        <w:t xml:space="preserve">written submissions from </w:t>
      </w:r>
      <w:r w:rsidR="00C733A5">
        <w:t xml:space="preserve">teachers and child protection support workers </w:t>
      </w:r>
      <w:r w:rsidRPr="00C76FE3">
        <w:t>who had worked on Nauru</w:t>
      </w:r>
      <w:r w:rsidR="008244AA">
        <w:t>,</w:t>
      </w:r>
      <w:r w:rsidRPr="00C76FE3">
        <w:t xml:space="preserve"> including a detailed submission </w:t>
      </w:r>
      <w:r w:rsidR="0047364D">
        <w:t xml:space="preserve">accompanied by supporting documentation </w:t>
      </w:r>
      <w:r w:rsidRPr="00C76FE3">
        <w:t xml:space="preserve">from employees of Save the Children who had experience as welfare officers within the </w:t>
      </w:r>
      <w:r w:rsidR="00FE1143">
        <w:t xml:space="preserve">RPC in </w:t>
      </w:r>
      <w:r w:rsidR="00E00D57">
        <w:t>Nauru</w:t>
      </w:r>
      <w:r w:rsidR="008244AA">
        <w:rPr>
          <w:rStyle w:val="EndnoteReference"/>
        </w:rPr>
        <w:endnoteReference w:id="15"/>
      </w:r>
      <w:r w:rsidRPr="00C76FE3">
        <w:t xml:space="preserve">  </w:t>
      </w:r>
    </w:p>
    <w:p w:rsidR="003A3B4A" w:rsidRPr="00354D7C" w:rsidRDefault="003A3B4A" w:rsidP="009E6D21">
      <w:pPr>
        <w:pStyle w:val="ListParagraph"/>
        <w:numPr>
          <w:ilvl w:val="0"/>
          <w:numId w:val="32"/>
        </w:numPr>
        <w:spacing w:before="0" w:after="120"/>
        <w:ind w:left="426" w:hanging="284"/>
        <w:contextualSpacing w:val="0"/>
        <w:jc w:val="both"/>
      </w:pPr>
      <w:r w:rsidRPr="00354D7C">
        <w:t xml:space="preserve">34 </w:t>
      </w:r>
      <w:r w:rsidR="001A0103" w:rsidRPr="00354D7C">
        <w:t xml:space="preserve">written </w:t>
      </w:r>
      <w:r w:rsidRPr="00354D7C">
        <w:t>submissions from childre</w:t>
      </w:r>
      <w:r w:rsidR="00670024" w:rsidRPr="00354D7C">
        <w:t xml:space="preserve">n and adults detained in the </w:t>
      </w:r>
      <w:r w:rsidR="00FE1143" w:rsidRPr="00354D7C">
        <w:t>RPC i</w:t>
      </w:r>
      <w:r w:rsidR="00E00D57">
        <w:t>n Nauru.</w:t>
      </w:r>
      <w:r w:rsidR="00EB7798" w:rsidRPr="00354D7C">
        <w:rPr>
          <w:rStyle w:val="EndnoteReference"/>
        </w:rPr>
        <w:endnoteReference w:id="16"/>
      </w:r>
    </w:p>
    <w:p w:rsidR="0081198E" w:rsidRDefault="00B72A37" w:rsidP="00D62CF0">
      <w:pPr>
        <w:jc w:val="both"/>
      </w:pPr>
      <w:r>
        <w:t xml:space="preserve">Based on this evidence the </w:t>
      </w:r>
      <w:r w:rsidR="00EE462D">
        <w:t>Commission found that children i</w:t>
      </w:r>
      <w:r>
        <w:t xml:space="preserve">n </w:t>
      </w:r>
      <w:r w:rsidR="00EE462D">
        <w:t xml:space="preserve">the RPC in </w:t>
      </w:r>
      <w:r>
        <w:t xml:space="preserve">Nauru are suffering from extreme levels of physical, emotional, psychological and developmental distress. </w:t>
      </w:r>
      <w:r w:rsidR="0081198E">
        <w:t xml:space="preserve">During the Inquiry the Commission </w:t>
      </w:r>
      <w:r w:rsidR="00D62CF0">
        <w:t xml:space="preserve">also </w:t>
      </w:r>
      <w:r w:rsidR="0081198E">
        <w:t xml:space="preserve">received evidence of incidents of harassment, bullying and abuse. </w:t>
      </w:r>
    </w:p>
    <w:p w:rsidR="00A74BC4" w:rsidRDefault="00217E73" w:rsidP="00745BDC">
      <w:pPr>
        <w:jc w:val="both"/>
      </w:pPr>
      <w:r>
        <w:t>The recent report into alleg</w:t>
      </w:r>
      <w:r w:rsidR="00577545">
        <w:t>ations relating to conditions in</w:t>
      </w:r>
      <w:r w:rsidR="00BE12C4">
        <w:t xml:space="preserve"> the RPC in</w:t>
      </w:r>
      <w:r>
        <w:t xml:space="preserve"> Nauru by Philip Moss confirmed the Commission’s concerns about the welfare and protection of children. The Moss Review found that in relation to children </w:t>
      </w:r>
      <w:r w:rsidRPr="00483BAC">
        <w:t>there were both reported and unreported allegations of se</w:t>
      </w:r>
      <w:r>
        <w:t xml:space="preserve">xual and other physical assault. </w:t>
      </w:r>
    </w:p>
    <w:p w:rsidR="00A75265" w:rsidRDefault="00A75265" w:rsidP="00745BDC">
      <w:pPr>
        <w:spacing w:before="0" w:after="0"/>
        <w:jc w:val="both"/>
      </w:pPr>
      <w:r>
        <w:t xml:space="preserve">The Commission is deeply concerned that Australia has transferred children to Nauru where there is no child protection framework or mandatory reporting requirements </w:t>
      </w:r>
      <w:r w:rsidRPr="00DF626A">
        <w:t xml:space="preserve">for reporting </w:t>
      </w:r>
      <w:r>
        <w:t xml:space="preserve">allegations </w:t>
      </w:r>
      <w:r w:rsidR="002615F7">
        <w:t xml:space="preserve">of </w:t>
      </w:r>
      <w:r w:rsidRPr="00DF626A">
        <w:t>child abuse</w:t>
      </w:r>
      <w:r>
        <w:t xml:space="preserve">. Furthermore, it is problematic that even where abuse is reported children </w:t>
      </w:r>
      <w:r w:rsidR="007D72F1">
        <w:t xml:space="preserve">detained in the RPC </w:t>
      </w:r>
      <w:r>
        <w:t>cannot be removed from situations of harm except in extreme circumstances</w:t>
      </w:r>
      <w:r w:rsidR="00747018">
        <w:t>,</w:t>
      </w:r>
      <w:r>
        <w:t xml:space="preserve"> and then only for a limited period. </w:t>
      </w:r>
    </w:p>
    <w:p w:rsidR="00217E73" w:rsidRDefault="00217E73" w:rsidP="00745BDC">
      <w:pPr>
        <w:jc w:val="both"/>
      </w:pPr>
      <w:r>
        <w:t xml:space="preserve">The Moss Review </w:t>
      </w:r>
      <w:r w:rsidR="00A74BC4">
        <w:t xml:space="preserve">also </w:t>
      </w:r>
      <w:r>
        <w:t>reported that b</w:t>
      </w:r>
      <w:r w:rsidRPr="00483BAC">
        <w:rPr>
          <w:rFonts w:cs="Arial"/>
        </w:rPr>
        <w:t xml:space="preserve">etween October </w:t>
      </w:r>
      <w:r w:rsidR="001A1637">
        <w:rPr>
          <w:rFonts w:cs="Arial"/>
        </w:rPr>
        <w:t>2013 and October 2014, 17 children</w:t>
      </w:r>
      <w:r w:rsidRPr="00483BAC">
        <w:rPr>
          <w:rFonts w:cs="Arial"/>
        </w:rPr>
        <w:t xml:space="preserve"> </w:t>
      </w:r>
      <w:r w:rsidR="007D72F1">
        <w:rPr>
          <w:rFonts w:cs="Arial"/>
        </w:rPr>
        <w:t xml:space="preserve">in the RPC </w:t>
      </w:r>
      <w:r w:rsidRPr="00483BAC">
        <w:rPr>
          <w:rFonts w:cs="Arial"/>
        </w:rPr>
        <w:t>engaged in self-harm (including one attempted hanging). The youngest child involved in self-harm was an 11 year old</w:t>
      </w:r>
      <w:r>
        <w:rPr>
          <w:rFonts w:cs="Arial"/>
        </w:rPr>
        <w:t>.</w:t>
      </w:r>
      <w:r w:rsidRPr="00483BAC">
        <w:t xml:space="preserve">  </w:t>
      </w:r>
    </w:p>
    <w:p w:rsidR="00745BDC" w:rsidRDefault="00745BDC" w:rsidP="00745BDC">
      <w:pPr>
        <w:spacing w:before="0" w:after="0"/>
        <w:jc w:val="both"/>
      </w:pPr>
      <w:r>
        <w:t xml:space="preserve">The Moss report and the Forgotten Children report </w:t>
      </w:r>
      <w:r w:rsidR="00E36306">
        <w:t>provide</w:t>
      </w:r>
      <w:r>
        <w:t xml:space="preserve"> ample evidence of the inappropriate conditions and harm that is being done to child</w:t>
      </w:r>
      <w:r w:rsidR="00C546CA">
        <w:t>ren detained i</w:t>
      </w:r>
      <w:r>
        <w:t xml:space="preserve">n Nauru. </w:t>
      </w:r>
    </w:p>
    <w:p w:rsidR="00A75265" w:rsidRDefault="00A75265" w:rsidP="00745BDC">
      <w:pPr>
        <w:spacing w:before="0" w:after="0"/>
        <w:jc w:val="both"/>
        <w:rPr>
          <w:i/>
        </w:rPr>
      </w:pPr>
    </w:p>
    <w:p w:rsidR="00262DFE" w:rsidRDefault="00ED0983" w:rsidP="00745BDC">
      <w:pPr>
        <w:spacing w:before="0" w:after="0"/>
        <w:jc w:val="both"/>
        <w:rPr>
          <w:i/>
        </w:rPr>
      </w:pPr>
      <w:r>
        <w:rPr>
          <w:i/>
        </w:rPr>
        <w:t xml:space="preserve">Inadequacy of pre-transfer assessments </w:t>
      </w:r>
    </w:p>
    <w:p w:rsidR="00CC6AE9" w:rsidRDefault="00CC6AE9" w:rsidP="00745BDC">
      <w:pPr>
        <w:spacing w:before="0" w:after="0"/>
        <w:jc w:val="both"/>
        <w:rPr>
          <w:i/>
        </w:rPr>
      </w:pPr>
    </w:p>
    <w:p w:rsidR="00C36C1B" w:rsidRDefault="00CC6AE9" w:rsidP="00745BDC">
      <w:pPr>
        <w:spacing w:before="0" w:after="0"/>
        <w:jc w:val="both"/>
      </w:pPr>
      <w:r>
        <w:t xml:space="preserve">The Commission considers the assessments conducted </w:t>
      </w:r>
      <w:r w:rsidR="002765B7">
        <w:t>by Department of Immigration and Border Protection</w:t>
      </w:r>
      <w:r w:rsidR="00FE6C7A">
        <w:t xml:space="preserve"> officials</w:t>
      </w:r>
      <w:r w:rsidR="002765B7">
        <w:t xml:space="preserve"> </w:t>
      </w:r>
      <w:r>
        <w:t xml:space="preserve">prior to </w:t>
      </w:r>
      <w:r w:rsidR="00C36C1B">
        <w:t>transfer</w:t>
      </w:r>
      <w:r w:rsidR="00FE6C7A">
        <w:t>ring</w:t>
      </w:r>
      <w:r w:rsidR="00C36C1B">
        <w:t xml:space="preserve"> asylum seekers </w:t>
      </w:r>
      <w:r>
        <w:t xml:space="preserve">to </w:t>
      </w:r>
      <w:r>
        <w:lastRenderedPageBreak/>
        <w:t>Nauru to be inadequate</w:t>
      </w:r>
      <w:r w:rsidRPr="00F57356">
        <w:t xml:space="preserve">. </w:t>
      </w:r>
      <w:r w:rsidR="00FE6C7A" w:rsidRPr="00F57356">
        <w:t xml:space="preserve">The Commission reviewed </w:t>
      </w:r>
      <w:r w:rsidR="00EB7768" w:rsidRPr="00F57356">
        <w:t xml:space="preserve">a number of the </w:t>
      </w:r>
      <w:r w:rsidR="00FE6C7A" w:rsidRPr="00F57356">
        <w:t xml:space="preserve">pre-transfer assessments conducted in relation to children </w:t>
      </w:r>
      <w:r w:rsidR="00C36C1B" w:rsidRPr="00F57356">
        <w:t>as part of the Inquiry</w:t>
      </w:r>
      <w:r w:rsidR="00FE6C7A" w:rsidRPr="00F57356">
        <w:t>.</w:t>
      </w:r>
      <w:r w:rsidR="00C36C1B" w:rsidRPr="00F57356">
        <w:t xml:space="preserve"> </w:t>
      </w:r>
      <w:r w:rsidR="00FE6C7A" w:rsidRPr="00F57356">
        <w:t>T</w:t>
      </w:r>
      <w:r w:rsidR="00C36C1B" w:rsidRPr="00F57356">
        <w:t xml:space="preserve">he Commission concluded that Departmental officers do not assess </w:t>
      </w:r>
      <w:r w:rsidR="00384391" w:rsidRPr="00F57356">
        <w:t xml:space="preserve">the </w:t>
      </w:r>
      <w:r w:rsidR="00584656" w:rsidRPr="00F57356">
        <w:t xml:space="preserve">care and welfare </w:t>
      </w:r>
      <w:r w:rsidR="00384391" w:rsidRPr="00F57356">
        <w:t xml:space="preserve">needs of </w:t>
      </w:r>
      <w:r w:rsidR="00193836" w:rsidRPr="00F57356">
        <w:t>an</w:t>
      </w:r>
      <w:r w:rsidR="00EB7768" w:rsidRPr="00F57356">
        <w:t xml:space="preserve"> individual</w:t>
      </w:r>
      <w:r w:rsidR="00384391" w:rsidRPr="00F57356">
        <w:t xml:space="preserve"> child and </w:t>
      </w:r>
      <w:r w:rsidR="00584656" w:rsidRPr="00F57356">
        <w:t xml:space="preserve">consider </w:t>
      </w:r>
      <w:r w:rsidR="00384391" w:rsidRPr="00F57356">
        <w:t xml:space="preserve">whether </w:t>
      </w:r>
      <w:r w:rsidR="00584656" w:rsidRPr="00F57356">
        <w:t>tho</w:t>
      </w:r>
      <w:r w:rsidR="00FA7057">
        <w:t>se needs can be met in the RPC i</w:t>
      </w:r>
      <w:r w:rsidR="00584656" w:rsidRPr="00F57356">
        <w:t>n</w:t>
      </w:r>
      <w:r w:rsidR="00384391" w:rsidRPr="00F57356">
        <w:t xml:space="preserve"> Nauru </w:t>
      </w:r>
      <w:r w:rsidR="00584656" w:rsidRPr="00F57356">
        <w:t>before</w:t>
      </w:r>
      <w:r w:rsidR="00CA58C5" w:rsidRPr="00F57356">
        <w:t xml:space="preserve"> </w:t>
      </w:r>
      <w:r w:rsidR="00871C54">
        <w:t>recommending th</w:t>
      </w:r>
      <w:r w:rsidR="009804AF">
        <w:t>e</w:t>
      </w:r>
      <w:r w:rsidR="00871C54">
        <w:t xml:space="preserve"> child’s</w:t>
      </w:r>
      <w:r w:rsidR="00193836" w:rsidRPr="00F57356">
        <w:t xml:space="preserve"> </w:t>
      </w:r>
      <w:r w:rsidR="00CA58C5" w:rsidRPr="00F57356">
        <w:t>transfer</w:t>
      </w:r>
      <w:r w:rsidR="00384391" w:rsidRPr="00F57356">
        <w:t xml:space="preserve">. The Commission found that Australia transferred children to </w:t>
      </w:r>
      <w:r w:rsidR="00296EBC">
        <w:t>Nauru regardless of whether the</w:t>
      </w:r>
      <w:r w:rsidR="00384391" w:rsidRPr="00F57356">
        <w:t xml:space="preserve"> transfer was in those children’s best interests, </w:t>
      </w:r>
      <w:r w:rsidR="00181D87" w:rsidRPr="00F57356">
        <w:t>in</w:t>
      </w:r>
      <w:r w:rsidR="00384391" w:rsidRPr="00F57356">
        <w:t xml:space="preserve"> breach </w:t>
      </w:r>
      <w:r w:rsidR="00181D87" w:rsidRPr="00F57356">
        <w:t>of Australia’s obligations under international law</w:t>
      </w:r>
      <w:r w:rsidR="00384391" w:rsidRPr="00F57356">
        <w:t>.</w:t>
      </w:r>
      <w:r w:rsidR="00CA58C5" w:rsidRPr="00F57356">
        <w:rPr>
          <w:rStyle w:val="EndnoteReference"/>
        </w:rPr>
        <w:endnoteReference w:id="17"/>
      </w:r>
    </w:p>
    <w:p w:rsidR="00C36C1B" w:rsidRDefault="00C36C1B" w:rsidP="00745BDC">
      <w:pPr>
        <w:spacing w:before="0" w:after="0"/>
        <w:jc w:val="both"/>
      </w:pPr>
    </w:p>
    <w:p w:rsidR="0037483E" w:rsidRDefault="00A3395A" w:rsidP="00745BDC">
      <w:pPr>
        <w:spacing w:before="0" w:after="0"/>
        <w:jc w:val="both"/>
      </w:pPr>
      <w:r>
        <w:t>The Commission also found that s</w:t>
      </w:r>
      <w:r w:rsidR="003465C3">
        <w:t>ome a</w:t>
      </w:r>
      <w:r w:rsidR="000637A7">
        <w:t>sylum seekers</w:t>
      </w:r>
      <w:r w:rsidR="00BA13CE">
        <w:t xml:space="preserve">, including children, were sent to Nauru despite having physical and mental </w:t>
      </w:r>
      <w:r w:rsidR="000637A7">
        <w:t>health problems.</w:t>
      </w:r>
      <w:r w:rsidR="00BA13CE">
        <w:t xml:space="preserve"> </w:t>
      </w:r>
      <w:r w:rsidR="0007273A">
        <w:t xml:space="preserve">An example </w:t>
      </w:r>
      <w:r w:rsidR="00B4015A">
        <w:t>was</w:t>
      </w:r>
      <w:r w:rsidR="0007273A">
        <w:t xml:space="preserve"> the transfer of a father of five and his eight year old son</w:t>
      </w:r>
      <w:r w:rsidR="00B4015A">
        <w:t xml:space="preserve">. The </w:t>
      </w:r>
      <w:r w:rsidR="00BA13CE">
        <w:t>father ha</w:t>
      </w:r>
      <w:r w:rsidR="00B4015A">
        <w:t>d</w:t>
      </w:r>
      <w:r w:rsidR="00BA13CE">
        <w:t xml:space="preserve"> a hernia which caused him pain when he walked</w:t>
      </w:r>
      <w:r w:rsidR="00B4015A">
        <w:t>, and was</w:t>
      </w:r>
      <w:r w:rsidR="003465C3">
        <w:t xml:space="preserve"> </w:t>
      </w:r>
      <w:r w:rsidR="003465C3" w:rsidRPr="003465C3">
        <w:t>advised</w:t>
      </w:r>
      <w:r w:rsidR="00B4015A">
        <w:t xml:space="preserve"> by the doctor</w:t>
      </w:r>
      <w:r w:rsidR="003465C3" w:rsidRPr="003465C3">
        <w:t xml:space="preserve"> to limit his walking as it could exacerbate his condition. In December 2013 the father </w:t>
      </w:r>
      <w:r w:rsidR="00596A9D">
        <w:t xml:space="preserve">had </w:t>
      </w:r>
      <w:r w:rsidR="003465C3" w:rsidRPr="003465C3">
        <w:t>fainted due to dehydration.</w:t>
      </w:r>
      <w:r w:rsidR="00E67689">
        <w:t xml:space="preserve"> </w:t>
      </w:r>
      <w:r w:rsidR="00596A9D">
        <w:t xml:space="preserve">Despite his condition, he was transferred to </w:t>
      </w:r>
      <w:r w:rsidR="00BA13CE">
        <w:t xml:space="preserve">Nauru </w:t>
      </w:r>
      <w:r w:rsidR="00596A9D">
        <w:t xml:space="preserve">where </w:t>
      </w:r>
      <w:r w:rsidR="00BA13CE">
        <w:t>he was required to walk excessively in the heat three times per day to receive food and accompany his young sons to the bathroom.</w:t>
      </w:r>
      <w:r w:rsidR="00221721">
        <w:t xml:space="preserve"> </w:t>
      </w:r>
    </w:p>
    <w:p w:rsidR="0037483E" w:rsidRDefault="0037483E" w:rsidP="00745BDC">
      <w:pPr>
        <w:spacing w:before="0" w:after="0"/>
        <w:jc w:val="both"/>
      </w:pPr>
    </w:p>
    <w:p w:rsidR="00CC6AE9" w:rsidRDefault="00221721" w:rsidP="00745BDC">
      <w:pPr>
        <w:spacing w:before="0" w:after="0"/>
        <w:jc w:val="both"/>
      </w:pPr>
      <w:r>
        <w:t xml:space="preserve">His </w:t>
      </w:r>
      <w:r w:rsidR="00F57356">
        <w:t>eight</w:t>
      </w:r>
      <w:r>
        <w:t xml:space="preserve"> year old son was also transferred to Nauru despite seeing the mental health team on Christmas Island fortnightly for bed-wetting. </w:t>
      </w:r>
      <w:r w:rsidR="00F73284">
        <w:t>I</w:t>
      </w:r>
      <w:r w:rsidR="00AE0DDC">
        <w:t xml:space="preserve">n Nauru he remained without medication for bed-wetting for many months because the health provider had run out. </w:t>
      </w:r>
    </w:p>
    <w:p w:rsidR="003465C3" w:rsidRDefault="00172E3B" w:rsidP="00745BDC">
      <w:pPr>
        <w:spacing w:before="0" w:after="0"/>
        <w:jc w:val="both"/>
      </w:pPr>
      <w:r>
        <w:t>He commenced taking</w:t>
      </w:r>
      <w:r w:rsidR="00C36C1B">
        <w:t xml:space="preserve"> anti-depressants and</w:t>
      </w:r>
      <w:r w:rsidR="00583B77">
        <w:t xml:space="preserve"> </w:t>
      </w:r>
      <w:r w:rsidR="003465C3" w:rsidRPr="003465C3">
        <w:t>started to suffer f</w:t>
      </w:r>
      <w:r w:rsidR="00FA32BF">
        <w:t>a</w:t>
      </w:r>
      <w:r w:rsidR="003465C3" w:rsidRPr="003465C3">
        <w:t>ecal incontinence.</w:t>
      </w:r>
    </w:p>
    <w:p w:rsidR="00172E3B" w:rsidRDefault="00172E3B" w:rsidP="00745BDC">
      <w:pPr>
        <w:spacing w:before="0" w:after="0"/>
        <w:jc w:val="both"/>
      </w:pPr>
    </w:p>
    <w:p w:rsidR="007B2F60" w:rsidRDefault="004E0960" w:rsidP="00745BDC">
      <w:pPr>
        <w:spacing w:before="0" w:after="0"/>
        <w:jc w:val="both"/>
        <w:rPr>
          <w:i/>
        </w:rPr>
      </w:pPr>
      <w:r>
        <w:rPr>
          <w:i/>
        </w:rPr>
        <w:t xml:space="preserve">Conclusion </w:t>
      </w:r>
    </w:p>
    <w:p w:rsidR="009C1024" w:rsidRPr="00E67689" w:rsidRDefault="009C1024" w:rsidP="009C1024">
      <w:pPr>
        <w:spacing w:before="100" w:beforeAutospacing="1" w:after="100" w:afterAutospacing="1"/>
      </w:pPr>
      <w:r w:rsidRPr="00E67689">
        <w:t>The Commission has consistently and repeatedly raised concerns that the transfer and detentio</w:t>
      </w:r>
      <w:r w:rsidR="0067378C">
        <w:t>n of asylum seekers in the RPC i</w:t>
      </w:r>
      <w:r w:rsidRPr="00E67689">
        <w:t xml:space="preserve">n Nauru may lead to breaches of Australia’s obligations under international law. The conditions and circumstances </w:t>
      </w:r>
      <w:r w:rsidR="001E7DF6" w:rsidRPr="00E67689">
        <w:t>at</w:t>
      </w:r>
      <w:r w:rsidRPr="00E67689">
        <w:t xml:space="preserve"> the RPC </w:t>
      </w:r>
      <w:r w:rsidR="003373CE" w:rsidRPr="00E67689">
        <w:t>pose serious risks to the</w:t>
      </w:r>
      <w:r w:rsidR="00F74077" w:rsidRPr="00E67689">
        <w:t xml:space="preserve"> health and well-being</w:t>
      </w:r>
      <w:r w:rsidR="003373CE" w:rsidRPr="00E67689">
        <w:t xml:space="preserve"> of those detained</w:t>
      </w:r>
      <w:r w:rsidR="001E7DF6" w:rsidRPr="00E67689">
        <w:t xml:space="preserve">. </w:t>
      </w:r>
      <w:r w:rsidR="00AD1B89" w:rsidRPr="00E67689">
        <w:t xml:space="preserve">The Commission’s Inquiry and the Moss Review have highlighted the particular risk of harm </w:t>
      </w:r>
      <w:r w:rsidR="00B94B4E" w:rsidRPr="00E67689">
        <w:t>to</w:t>
      </w:r>
      <w:r w:rsidR="00AD1B89" w:rsidRPr="00E67689">
        <w:t xml:space="preserve"> children in the RPC.</w:t>
      </w:r>
    </w:p>
    <w:p w:rsidR="00B56DEE" w:rsidRDefault="00B56DEE" w:rsidP="00B56DEE">
      <w:r w:rsidRPr="00B56DEE">
        <w:t>Unless these very serious risks to the rights, health and safety of asylum seekers detained in the RPC are addressed immediately, the Commission recommends that the Australian Government transfer all asylum seekers detained in the RPC to Australia.</w:t>
      </w:r>
    </w:p>
    <w:p w:rsidR="00663856" w:rsidRDefault="00663856" w:rsidP="003C7B67">
      <w:pPr>
        <w:jc w:val="both"/>
      </w:pPr>
      <w:r>
        <w:rPr>
          <w:rFonts w:cs="Arial"/>
        </w:rPr>
        <w:t>The Commission would be willing to expand upon the points raised in this letter at any public hearing of the Committee.</w:t>
      </w:r>
    </w:p>
    <w:p w:rsidR="00392158" w:rsidRDefault="00392158" w:rsidP="00745BDC">
      <w:pPr>
        <w:keepNext/>
        <w:spacing w:before="0" w:after="0"/>
        <w:jc w:val="both"/>
      </w:pPr>
      <w:r>
        <w:t>Yours sincerely,</w:t>
      </w:r>
    </w:p>
    <w:p w:rsidR="003F3CD4" w:rsidRDefault="003F3CD4" w:rsidP="00745BDC">
      <w:pPr>
        <w:spacing w:before="0" w:after="0"/>
        <w:jc w:val="both"/>
        <w:rPr>
          <w:rFonts w:cs="Arial"/>
        </w:rPr>
      </w:pPr>
    </w:p>
    <w:p w:rsidR="00392158" w:rsidRPr="005C2BA2" w:rsidRDefault="00392158" w:rsidP="00392158">
      <w:pPr>
        <w:pStyle w:val="AddressBlock"/>
        <w:spacing w:before="0"/>
      </w:pPr>
      <w:bookmarkStart w:id="0" w:name="_GoBack"/>
      <w:bookmarkEnd w:id="0"/>
      <w:r>
        <w:t>Gillian Triggs</w:t>
      </w:r>
    </w:p>
    <w:p w:rsidR="00B802E5" w:rsidRPr="00BA4583" w:rsidRDefault="00B802E5" w:rsidP="00B802E5">
      <w:pPr>
        <w:pStyle w:val="AddressBlock"/>
        <w:spacing w:before="0"/>
        <w:rPr>
          <w:rFonts w:cs="Arial"/>
          <w:b/>
        </w:rPr>
      </w:pPr>
      <w:r w:rsidRPr="00BA4583">
        <w:rPr>
          <w:rFonts w:cs="Arial"/>
          <w:b/>
        </w:rPr>
        <w:t>President</w:t>
      </w:r>
    </w:p>
    <w:p w:rsidR="00B802E5" w:rsidRPr="003F3CD4" w:rsidRDefault="00B802E5" w:rsidP="00B802E5">
      <w:pPr>
        <w:pStyle w:val="Contactdetails"/>
        <w:spacing w:before="0" w:after="0"/>
        <w:rPr>
          <w:rFonts w:ascii="Arial" w:hAnsi="Arial" w:cs="Arial"/>
          <w:color w:val="000000"/>
          <w:sz w:val="24"/>
        </w:rPr>
      </w:pPr>
    </w:p>
    <w:p w:rsidR="006E2FE7" w:rsidRPr="005C2BA2" w:rsidRDefault="006E2FE7" w:rsidP="00B802E5">
      <w:pPr>
        <w:keepNext/>
        <w:spacing w:before="0" w:after="0"/>
      </w:pPr>
    </w:p>
    <w:sectPr w:rsidR="006E2FE7" w:rsidRPr="005C2BA2" w:rsidSect="00D04415">
      <w:headerReference w:type="default" r:id="rId9"/>
      <w:footerReference w:type="default" r:id="rId10"/>
      <w:headerReference w:type="first" r:id="rId11"/>
      <w:footerReference w:type="first" r:id="rId12"/>
      <w:endnotePr>
        <w:numFmt w:val="decimal"/>
      </w:endnotePr>
      <w:pgSz w:w="11906" w:h="16838" w:code="9"/>
      <w:pgMar w:top="1134" w:right="1418" w:bottom="1560"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D7" w:rsidRDefault="00F81FD7" w:rsidP="00F14C6D">
      <w:r>
        <w:separator/>
      </w:r>
    </w:p>
  </w:endnote>
  <w:endnote w:type="continuationSeparator" w:id="0">
    <w:p w:rsidR="00F81FD7" w:rsidRDefault="00F81FD7" w:rsidP="00F14C6D">
      <w:r>
        <w:continuationSeparator/>
      </w:r>
    </w:p>
  </w:endnote>
  <w:endnote w:id="1">
    <w:p w:rsidR="000C6982" w:rsidRDefault="000C6982" w:rsidP="00FD02E7">
      <w:pPr>
        <w:pStyle w:val="EndnoteText"/>
        <w:ind w:left="284" w:hanging="284"/>
      </w:pPr>
      <w:r>
        <w:rPr>
          <w:rStyle w:val="EndnoteReference"/>
        </w:rPr>
        <w:endnoteRef/>
      </w:r>
      <w:r>
        <w:t xml:space="preserve"> </w:t>
      </w:r>
      <w:r w:rsidR="00FD02E7">
        <w:tab/>
      </w:r>
      <w:r>
        <w:t xml:space="preserve">The </w:t>
      </w:r>
      <w:r w:rsidRPr="000C6982">
        <w:rPr>
          <w:i/>
        </w:rPr>
        <w:t>Forgotten Children</w:t>
      </w:r>
      <w:r>
        <w:t xml:space="preserve"> report is available </w:t>
      </w:r>
      <w:r w:rsidR="00A16C80">
        <w:t xml:space="preserve">to read </w:t>
      </w:r>
      <w:r>
        <w:t xml:space="preserve">online at </w:t>
      </w:r>
      <w:hyperlink r:id="rId1" w:history="1">
        <w:r w:rsidRPr="00316EAD">
          <w:rPr>
            <w:rStyle w:val="Hyperlink"/>
          </w:rPr>
          <w:t>http://www.humanrights.gov.au/publications/forgotten-children-national-inquiry-children-immigration-detention-2014/12-children</w:t>
        </w:r>
      </w:hyperlink>
      <w:r>
        <w:t xml:space="preserve"> (viewed 13 April 2015).</w:t>
      </w:r>
    </w:p>
  </w:endnote>
  <w:endnote w:id="2">
    <w:p w:rsidR="001D36DB" w:rsidRDefault="001D36DB" w:rsidP="00FD02E7">
      <w:pPr>
        <w:pStyle w:val="EndnoteText"/>
        <w:ind w:left="284" w:hanging="284"/>
      </w:pPr>
      <w:r>
        <w:rPr>
          <w:rStyle w:val="EndnoteReference"/>
        </w:rPr>
        <w:endnoteRef/>
      </w:r>
      <w:r>
        <w:t xml:space="preserve"> </w:t>
      </w:r>
      <w:r w:rsidR="00FD02E7">
        <w:tab/>
      </w:r>
      <w:r w:rsidR="00360344">
        <w:t xml:space="preserve">Australian Human Rights Commission, </w:t>
      </w:r>
      <w:r w:rsidR="00360344" w:rsidRPr="007B1947">
        <w:rPr>
          <w:i/>
        </w:rPr>
        <w:t>Submission to the Parliamentary Joint Committee on Human Rights’ Examination of the Migration (Regional Processing) package of legislation</w:t>
      </w:r>
      <w:r w:rsidR="00360344">
        <w:t xml:space="preserve"> (January 2013). At </w:t>
      </w:r>
      <w:hyperlink r:id="rId2" w:anchor="Heading273" w:history="1">
        <w:r w:rsidR="00360344" w:rsidRPr="009D63E1">
          <w:rPr>
            <w:rStyle w:val="Hyperlink"/>
          </w:rPr>
          <w:t>http://www.humanrights.gov.au/submissions/examination-migration-regional-processing-package-legislation#Heading273</w:t>
        </w:r>
      </w:hyperlink>
      <w:r w:rsidR="00360344">
        <w:t xml:space="preserve"> (viewed 13 April 2015)</w:t>
      </w:r>
      <w:r w:rsidR="001D0379">
        <w:t>.</w:t>
      </w:r>
    </w:p>
  </w:endnote>
  <w:endnote w:id="3">
    <w:p w:rsidR="001D0379" w:rsidRDefault="001D0379" w:rsidP="00FD02E7">
      <w:pPr>
        <w:pStyle w:val="EndnoteText"/>
        <w:ind w:left="284" w:hanging="284"/>
      </w:pPr>
      <w:r>
        <w:rPr>
          <w:rStyle w:val="EndnoteReference"/>
        </w:rPr>
        <w:endnoteRef/>
      </w:r>
      <w:r>
        <w:t xml:space="preserve"> </w:t>
      </w:r>
      <w:r w:rsidR="00FD02E7">
        <w:tab/>
      </w:r>
      <w:r w:rsidR="00776F45">
        <w:t xml:space="preserve">Australian Human Rights Commission, </w:t>
      </w:r>
      <w:r w:rsidR="00776F45" w:rsidRPr="00AD5D10">
        <w:rPr>
          <w:i/>
        </w:rPr>
        <w:t>Asylum seekers, refugees and human rights: snapshot report 2013</w:t>
      </w:r>
      <w:r w:rsidR="00776F45">
        <w:t xml:space="preserve"> (October 2013), section 3. At </w:t>
      </w:r>
      <w:hyperlink r:id="rId3" w:history="1">
        <w:r w:rsidR="00776F45" w:rsidRPr="009D63E1">
          <w:rPr>
            <w:rStyle w:val="Hyperlink"/>
          </w:rPr>
          <w:t>http://www.humanrights.gov.au/publications/asylum-seekers-refugees-and-human-rights-snapshot-report</w:t>
        </w:r>
      </w:hyperlink>
      <w:r w:rsidR="000E2DDF">
        <w:t xml:space="preserve"> (viewed 13 April 2015).</w:t>
      </w:r>
    </w:p>
  </w:endnote>
  <w:endnote w:id="4">
    <w:p w:rsidR="00083323" w:rsidRDefault="00083323" w:rsidP="00FD02E7">
      <w:pPr>
        <w:pStyle w:val="EndnoteText"/>
        <w:ind w:left="284" w:hanging="284"/>
      </w:pPr>
      <w:r>
        <w:rPr>
          <w:rStyle w:val="EndnoteReference"/>
        </w:rPr>
        <w:endnoteRef/>
      </w:r>
      <w:r>
        <w:t xml:space="preserve"> </w:t>
      </w:r>
      <w:r w:rsidR="00FD02E7">
        <w:tab/>
      </w:r>
      <w:r w:rsidR="00E7188B">
        <w:t xml:space="preserve">Australian Human Rights Commission, </w:t>
      </w:r>
      <w:r w:rsidR="00E7188B" w:rsidRPr="00D93C82">
        <w:rPr>
          <w:i/>
        </w:rPr>
        <w:t>Human rights issues raised by the third country processing regime</w:t>
      </w:r>
      <w:r w:rsidR="00E7188B">
        <w:t xml:space="preserve"> (March 2013). At</w:t>
      </w:r>
      <w:r>
        <w:t xml:space="preserve"> </w:t>
      </w:r>
      <w:hyperlink r:id="rId4" w:history="1">
        <w:r w:rsidRPr="00316EAD">
          <w:rPr>
            <w:rStyle w:val="Hyperlink"/>
          </w:rPr>
          <w:t>http://www.humanrights.gov.au/our-work/rights-and-freedoms/publications/human-rights-issues-raised-third-country-processing-regime</w:t>
        </w:r>
      </w:hyperlink>
      <w:r>
        <w:t xml:space="preserve"> (viewed 13 April 2015).</w:t>
      </w:r>
    </w:p>
  </w:endnote>
  <w:endnote w:id="5">
    <w:p w:rsidR="00262DFE" w:rsidRPr="009F1ADF" w:rsidRDefault="00262DFE" w:rsidP="00FD02E7">
      <w:pPr>
        <w:pStyle w:val="EndnoteText"/>
        <w:ind w:left="284" w:hanging="284"/>
      </w:pPr>
      <w:r>
        <w:rPr>
          <w:rStyle w:val="EndnoteReference"/>
        </w:rPr>
        <w:endnoteRef/>
      </w:r>
      <w:r w:rsidR="009F1ADF">
        <w:t xml:space="preserve">  </w:t>
      </w:r>
      <w:r w:rsidR="00FD02E7">
        <w:tab/>
      </w:r>
      <w:r>
        <w:t xml:space="preserve">See </w:t>
      </w:r>
      <w:r w:rsidR="009F1ADF">
        <w:t xml:space="preserve">Australian Human Rights Commission, </w:t>
      </w:r>
      <w:r w:rsidR="009F1ADF" w:rsidRPr="009F1ADF">
        <w:rPr>
          <w:i/>
        </w:rPr>
        <w:t>Submission to the Senate Legal and Constitutional Affairs Committee’s Inquiry into the Incident at the Manus Island Detention Centre from 16 February to 18 February 2014</w:t>
      </w:r>
      <w:r w:rsidR="009F1ADF">
        <w:t xml:space="preserve"> (May 2014), section 3. At </w:t>
      </w:r>
      <w:hyperlink r:id="rId5" w:history="1">
        <w:r w:rsidR="009F1ADF" w:rsidRPr="00316EAD">
          <w:rPr>
            <w:rStyle w:val="Hyperlink"/>
          </w:rPr>
          <w:t>http://www.humanrights.gov.au/submissions/inquiry-incident-manus-island-detention-centre-16-february-18-february-2014</w:t>
        </w:r>
      </w:hyperlink>
      <w:r w:rsidR="00776F45">
        <w:t xml:space="preserve"> (vi</w:t>
      </w:r>
      <w:r w:rsidR="00B40AA3">
        <w:t>ewed 13 April 2015). See further</w:t>
      </w:r>
      <w:r w:rsidR="009F1ADF">
        <w:t xml:space="preserve"> </w:t>
      </w:r>
      <w:r>
        <w:t xml:space="preserve">Australian Human Rights Commission, </w:t>
      </w:r>
      <w:r w:rsidRPr="007B1947">
        <w:rPr>
          <w:i/>
        </w:rPr>
        <w:t>Submission to the Parliamentary J</w:t>
      </w:r>
      <w:r w:rsidR="00B40AA3">
        <w:rPr>
          <w:i/>
        </w:rPr>
        <w:t>oint Committee on Human Rights</w:t>
      </w:r>
      <w:r w:rsidR="002B37A6" w:rsidRPr="009A2E9A">
        <w:t xml:space="preserve">, </w:t>
      </w:r>
      <w:r w:rsidR="00BE5886" w:rsidRPr="009A2E9A">
        <w:t>n</w:t>
      </w:r>
      <w:r w:rsidR="002B37A6" w:rsidRPr="009A2E9A">
        <w:t>ote</w:t>
      </w:r>
      <w:r w:rsidR="00BE5886" w:rsidRPr="009A2E9A">
        <w:t xml:space="preserve"> </w:t>
      </w:r>
      <w:r w:rsidR="00D93C82">
        <w:t>2</w:t>
      </w:r>
      <w:r w:rsidRPr="009A2E9A">
        <w:t>, section 5.</w:t>
      </w:r>
      <w:r>
        <w:t xml:space="preserve"> </w:t>
      </w:r>
    </w:p>
  </w:endnote>
  <w:endnote w:id="6">
    <w:p w:rsidR="00262DFE" w:rsidRDefault="00262DFE" w:rsidP="00FD02E7">
      <w:pPr>
        <w:pStyle w:val="EndnoteText"/>
        <w:ind w:left="284" w:hanging="284"/>
      </w:pPr>
      <w:r>
        <w:rPr>
          <w:rStyle w:val="EndnoteReference"/>
        </w:rPr>
        <w:endnoteRef/>
      </w:r>
      <w:r>
        <w:t xml:space="preserve"> </w:t>
      </w:r>
      <w:r>
        <w:tab/>
      </w:r>
      <w:r>
        <w:rPr>
          <w:lang w:val="en"/>
        </w:rPr>
        <w:t xml:space="preserve">See the decision of the European Court of Human Rights in </w:t>
      </w:r>
      <w:r>
        <w:rPr>
          <w:rStyle w:val="Emphasis"/>
          <w:lang w:val="en"/>
        </w:rPr>
        <w:t>Al-Skeini v United Kingdom</w:t>
      </w:r>
      <w:r>
        <w:rPr>
          <w:lang w:val="en"/>
        </w:rPr>
        <w:t xml:space="preserve"> [GC] [2011] ECHR 1093.</w:t>
      </w:r>
    </w:p>
  </w:endnote>
  <w:endnote w:id="7">
    <w:p w:rsidR="00251597" w:rsidRDefault="00251597" w:rsidP="00FD02E7">
      <w:pPr>
        <w:pStyle w:val="EndnoteText"/>
        <w:ind w:left="284" w:hanging="284"/>
      </w:pPr>
      <w:r>
        <w:rPr>
          <w:rStyle w:val="EndnoteReference"/>
        </w:rPr>
        <w:endnoteRef/>
      </w:r>
      <w:r>
        <w:t xml:space="preserve"> </w:t>
      </w:r>
      <w:r w:rsidR="00FD02E7">
        <w:tab/>
      </w:r>
      <w:r w:rsidRPr="009A2E9A">
        <w:t xml:space="preserve">Australian Human Rights Commission, </w:t>
      </w:r>
      <w:r w:rsidRPr="009A2E9A">
        <w:rPr>
          <w:i/>
        </w:rPr>
        <w:t xml:space="preserve">Submission to the Parliamentary </w:t>
      </w:r>
      <w:r w:rsidR="00B40AA3">
        <w:rPr>
          <w:i/>
        </w:rPr>
        <w:t>Joint Committee on Human Rights</w:t>
      </w:r>
      <w:r w:rsidRPr="009A2E9A">
        <w:t>,</w:t>
      </w:r>
      <w:r w:rsidR="008B401B" w:rsidRPr="009A2E9A">
        <w:t xml:space="preserve"> n</w:t>
      </w:r>
      <w:r w:rsidR="002B37A6" w:rsidRPr="009A2E9A">
        <w:t>ote</w:t>
      </w:r>
      <w:r w:rsidR="008B401B" w:rsidRPr="009A2E9A">
        <w:t xml:space="preserve"> </w:t>
      </w:r>
      <w:r w:rsidR="00D93C82">
        <w:t>2</w:t>
      </w:r>
      <w:r w:rsidR="008B401B" w:rsidRPr="009A2E9A">
        <w:t>, section 5.</w:t>
      </w:r>
      <w:r w:rsidR="008B401B">
        <w:t xml:space="preserve"> </w:t>
      </w:r>
      <w:r>
        <w:t xml:space="preserve"> </w:t>
      </w:r>
    </w:p>
  </w:endnote>
  <w:endnote w:id="8">
    <w:p w:rsidR="003358F4" w:rsidRDefault="003358F4" w:rsidP="003358F4">
      <w:pPr>
        <w:pStyle w:val="EndnoteText"/>
        <w:ind w:left="284" w:hanging="284"/>
      </w:pPr>
      <w:r>
        <w:rPr>
          <w:rStyle w:val="EndnoteReference"/>
        </w:rPr>
        <w:endnoteRef/>
      </w:r>
      <w:r>
        <w:t xml:space="preserve"> </w:t>
      </w:r>
      <w:r>
        <w:tab/>
        <w:t xml:space="preserve">A copy of the Memorandum of Understanding was included in the group of documents tabled with the designation of </w:t>
      </w:r>
      <w:r w:rsidR="00AF15FC">
        <w:t xml:space="preserve">Nauru </w:t>
      </w:r>
      <w:r>
        <w:t>as a ‘regional processing country</w:t>
      </w:r>
      <w:r w:rsidR="00AF15FC">
        <w:t>’ on 10 Septem</w:t>
      </w:r>
      <w:r>
        <w:t>ber 2012. A copy of this set of documents</w:t>
      </w:r>
      <w:r w:rsidRPr="00D2403F">
        <w:t xml:space="preserve"> </w:t>
      </w:r>
      <w:r>
        <w:t xml:space="preserve">is available at </w:t>
      </w:r>
      <w:hyperlink r:id="rId6" w:history="1">
        <w:r w:rsidRPr="009D63E1">
          <w:rPr>
            <w:rStyle w:val="Hyperlink"/>
          </w:rPr>
          <w:t>http://www.humanrights.gov.au/transfer-asylum-seekers-third-countries</w:t>
        </w:r>
      </w:hyperlink>
      <w:r w:rsidR="00AF15FC">
        <w:t xml:space="preserve"> (viewed 16 April 2015</w:t>
      </w:r>
      <w:r>
        <w:t>).</w:t>
      </w:r>
    </w:p>
  </w:endnote>
  <w:endnote w:id="9">
    <w:p w:rsidR="003358F4" w:rsidRDefault="003358F4" w:rsidP="003358F4">
      <w:pPr>
        <w:pStyle w:val="EndnoteText"/>
        <w:ind w:left="284" w:hanging="284"/>
      </w:pPr>
      <w:r>
        <w:rPr>
          <w:rStyle w:val="EndnoteReference"/>
        </w:rPr>
        <w:endnoteRef/>
      </w:r>
      <w:r>
        <w:t xml:space="preserve"> </w:t>
      </w:r>
      <w:r>
        <w:tab/>
        <w:t>A copy of the 2013 Memo</w:t>
      </w:r>
      <w:r w:rsidR="00763E0B">
        <w:t>randum of Understanding with Nauru</w:t>
      </w:r>
      <w:r>
        <w:t xml:space="preserve"> is available at </w:t>
      </w:r>
      <w:hyperlink r:id="rId7" w:history="1">
        <w:r w:rsidR="00763E0B" w:rsidRPr="007634D1">
          <w:rPr>
            <w:rStyle w:val="Hyperlink"/>
          </w:rPr>
          <w:t>http://dfat.gov.au/geo/nauru/Pages/memorandum-of-understanding-between-the-republic-of-nauru-and-the-commonwealth-of-australia-relating-to-the-transfer-to-and.aspx</w:t>
        </w:r>
      </w:hyperlink>
      <w:r w:rsidR="00763E0B">
        <w:t xml:space="preserve"> (viewed 16 April 2015</w:t>
      </w:r>
      <w:r>
        <w:t>).</w:t>
      </w:r>
    </w:p>
  </w:endnote>
  <w:endnote w:id="10">
    <w:p w:rsidR="00BE5886" w:rsidRDefault="00BE5886" w:rsidP="00B40AA3">
      <w:pPr>
        <w:pStyle w:val="EndnoteText"/>
        <w:ind w:left="284" w:hanging="284"/>
      </w:pPr>
      <w:r>
        <w:rPr>
          <w:rStyle w:val="EndnoteReference"/>
        </w:rPr>
        <w:endnoteRef/>
      </w:r>
      <w:r>
        <w:t xml:space="preserve"> </w:t>
      </w:r>
      <w:r>
        <w:tab/>
        <w:t xml:space="preserve">Parliamentary Joint </w:t>
      </w:r>
      <w:r w:rsidR="004C2543">
        <w:t>Committee on Human Rights</w:t>
      </w:r>
      <w:r w:rsidR="004C2543">
        <w:rPr>
          <w:lang w:val="en"/>
        </w:rPr>
        <w:t xml:space="preserve">, Parliament of Australia, </w:t>
      </w:r>
      <w:r w:rsidR="004C2543">
        <w:rPr>
          <w:rStyle w:val="Emphasis"/>
          <w:lang w:val="en"/>
        </w:rPr>
        <w:t xml:space="preserve">Examination of Legislation in accordance with the </w:t>
      </w:r>
      <w:r w:rsidR="004C2543" w:rsidRPr="00B40AA3">
        <w:rPr>
          <w:rStyle w:val="Emphasis"/>
          <w:i w:val="0"/>
          <w:lang w:val="en"/>
        </w:rPr>
        <w:t>Human Rights (Parliamentary Scrutiny) Act 2011</w:t>
      </w:r>
      <w:r w:rsidR="004C2543">
        <w:rPr>
          <w:rStyle w:val="Emphasis"/>
          <w:lang w:val="en"/>
        </w:rPr>
        <w:t>: Migration Legislation Amendment (Regional Processing and Other Measures) Act 2012 and related legislation</w:t>
      </w:r>
      <w:r w:rsidR="004C2543">
        <w:rPr>
          <w:lang w:val="en"/>
        </w:rPr>
        <w:t xml:space="preserve"> (2013), para 2.55. At </w:t>
      </w:r>
      <w:hyperlink r:id="rId8" w:history="1">
        <w:r w:rsidR="004C2543">
          <w:rPr>
            <w:rStyle w:val="Hyperlink"/>
            <w:lang w:val="en"/>
          </w:rPr>
          <w:t>http://www.aph.gov.au/Parliamentary_Business/Committees/Joint/Human_Rights/Completed_inquiries/2013/2013/92013/index</w:t>
        </w:r>
      </w:hyperlink>
      <w:hyperlink w:history="1">
        <w:r w:rsidR="004C2543">
          <w:rPr>
            <w:rStyle w:val="Hyperlink"/>
            <w:lang w:val="en"/>
          </w:rPr>
          <w:t xml:space="preserve"> </w:t>
        </w:r>
      </w:hyperlink>
      <w:r w:rsidR="004C2543">
        <w:rPr>
          <w:lang w:val="en"/>
        </w:rPr>
        <w:t>(viewed 13 April 2015).</w:t>
      </w:r>
    </w:p>
  </w:endnote>
  <w:endnote w:id="11">
    <w:p w:rsidR="004C2543" w:rsidRDefault="004C2543">
      <w:pPr>
        <w:pStyle w:val="EndnoteText"/>
      </w:pPr>
      <w:r>
        <w:rPr>
          <w:rStyle w:val="EndnoteReference"/>
        </w:rPr>
        <w:endnoteRef/>
      </w:r>
      <w:r>
        <w:t xml:space="preserve"> </w:t>
      </w:r>
      <w:r w:rsidR="00C352D1">
        <w:t xml:space="preserve"> </w:t>
      </w:r>
      <w:r w:rsidR="007F668A">
        <w:t xml:space="preserve"> </w:t>
      </w:r>
      <w:r w:rsidR="00C352D1">
        <w:t>Parliamentary Joint Committee on Human Rights, above, para 2.56.</w:t>
      </w:r>
    </w:p>
  </w:endnote>
  <w:endnote w:id="12">
    <w:p w:rsidR="00BE5886" w:rsidRDefault="00BE5886" w:rsidP="00BE5886">
      <w:pPr>
        <w:pStyle w:val="EndnoteText"/>
        <w:ind w:left="284" w:hanging="284"/>
      </w:pPr>
      <w:r>
        <w:rPr>
          <w:rStyle w:val="EndnoteReference"/>
        </w:rPr>
        <w:endnoteRef/>
      </w:r>
      <w:r>
        <w:t xml:space="preserve"> </w:t>
      </w:r>
      <w:r>
        <w:tab/>
      </w:r>
      <w:r>
        <w:rPr>
          <w:lang w:val="en"/>
        </w:rPr>
        <w:t xml:space="preserve">United Nations High Commissioner for Refugees, </w:t>
      </w:r>
      <w:r w:rsidRPr="00273E00">
        <w:rPr>
          <w:i/>
          <w:lang w:val="en"/>
        </w:rPr>
        <w:t xml:space="preserve">UNHCR monitoring visit to the Republic of Nauru: 7 to 9 October 2013 </w:t>
      </w:r>
      <w:r>
        <w:rPr>
          <w:lang w:val="en"/>
        </w:rPr>
        <w:t xml:space="preserve">(2013), para 22. At </w:t>
      </w:r>
      <w:hyperlink r:id="rId9" w:history="1">
        <w:r w:rsidRPr="007634D1">
          <w:rPr>
            <w:rStyle w:val="Hyperlink"/>
            <w:lang w:val="en"/>
          </w:rPr>
          <w:t>http://unhcr.org.au/unhcr/images/2013-11-26%20Report%20of%20UNHCR%20Visit%20to%20Nauru%20of%207-9%20October%202013.pdf</w:t>
        </w:r>
      </w:hyperlink>
      <w:r>
        <w:rPr>
          <w:lang w:val="en"/>
        </w:rPr>
        <w:t xml:space="preserve"> (viewed 16 April 2015).</w:t>
      </w:r>
    </w:p>
  </w:endnote>
  <w:endnote w:id="13">
    <w:p w:rsidR="004F24D3" w:rsidRDefault="004F24D3" w:rsidP="004F24D3">
      <w:pPr>
        <w:pStyle w:val="EndnoteText"/>
        <w:ind w:left="284" w:hanging="284"/>
      </w:pPr>
      <w:r>
        <w:rPr>
          <w:rStyle w:val="EndnoteReference"/>
        </w:rPr>
        <w:endnoteRef/>
      </w:r>
      <w:r>
        <w:t xml:space="preserve"> </w:t>
      </w:r>
      <w:r>
        <w:tab/>
        <w:t xml:space="preserve">Committee Against Torture, </w:t>
      </w:r>
      <w:r w:rsidRPr="0026789A">
        <w:rPr>
          <w:i/>
        </w:rPr>
        <w:t xml:space="preserve">Concluding observations on the </w:t>
      </w:r>
      <w:r>
        <w:rPr>
          <w:i/>
        </w:rPr>
        <w:t xml:space="preserve">combined </w:t>
      </w:r>
      <w:r w:rsidRPr="0026789A">
        <w:rPr>
          <w:i/>
        </w:rPr>
        <w:t>fourth and fifth periodic reports of Australi</w:t>
      </w:r>
      <w:r w:rsidRPr="0026789A">
        <w:t xml:space="preserve">a, </w:t>
      </w:r>
      <w:r>
        <w:t xml:space="preserve">UN Doc CAT/C/AUS/CO/4-5 (2014), para 17. At  </w:t>
      </w:r>
      <w:hyperlink r:id="rId10" w:history="1">
        <w:r w:rsidRPr="00316EAD">
          <w:rPr>
            <w:rStyle w:val="Hyperlink"/>
          </w:rPr>
          <w:t>http://tbinternet.ohchr.org/_layouts/treatybodyexternal/Download.aspx?symbolno=CAT%2fC%2fAUS%2fCO%2f4-5&amp;Lang=en</w:t>
        </w:r>
      </w:hyperlink>
      <w:r>
        <w:t xml:space="preserve"> (viewed 13 April 2015).</w:t>
      </w:r>
    </w:p>
  </w:endnote>
  <w:endnote w:id="14">
    <w:p w:rsidR="004219AB" w:rsidRDefault="002A7D17" w:rsidP="00FD02E7">
      <w:pPr>
        <w:pStyle w:val="EndnoteText"/>
        <w:ind w:left="284" w:hanging="284"/>
      </w:pPr>
      <w:r>
        <w:rPr>
          <w:rStyle w:val="EndnoteReference"/>
        </w:rPr>
        <w:endnoteRef/>
      </w:r>
      <w:r>
        <w:t xml:space="preserve"> </w:t>
      </w:r>
      <w:r w:rsidR="00FD02E7">
        <w:tab/>
      </w:r>
      <w:r w:rsidR="004F4729">
        <w:t xml:space="preserve">See the </w:t>
      </w:r>
      <w:r w:rsidR="004219AB">
        <w:t xml:space="preserve">transcripts of the </w:t>
      </w:r>
      <w:r w:rsidR="004F4729">
        <w:t>evidence giv</w:t>
      </w:r>
      <w:r w:rsidR="001E6DF6">
        <w:t>en by Dr Peter Young and Dr Ai-L</w:t>
      </w:r>
      <w:r w:rsidR="004F4729">
        <w:t xml:space="preserve">ene Chan at the </w:t>
      </w:r>
      <w:r w:rsidR="004219AB">
        <w:t xml:space="preserve">third public hearing of the Inquiry in Sydney on 31 July 2014, available at </w:t>
      </w:r>
      <w:hyperlink r:id="rId11" w:history="1">
        <w:r w:rsidR="004219AB" w:rsidRPr="00316EAD">
          <w:rPr>
            <w:rStyle w:val="Hyperlink"/>
          </w:rPr>
          <w:t>http://www.humanrights.gov.au/our-work/asylum-seekers-and-refugees/national-inquiry-children-immigration-detention-2014-1</w:t>
        </w:r>
      </w:hyperlink>
      <w:r w:rsidR="004219AB">
        <w:t xml:space="preserve"> (viewed 13 April 2015).</w:t>
      </w:r>
    </w:p>
  </w:endnote>
  <w:endnote w:id="15">
    <w:p w:rsidR="008244AA" w:rsidRDefault="008244AA" w:rsidP="00FD02E7">
      <w:pPr>
        <w:pStyle w:val="EndnoteText"/>
        <w:ind w:left="284" w:hanging="284"/>
      </w:pPr>
      <w:r>
        <w:rPr>
          <w:rStyle w:val="EndnoteReference"/>
        </w:rPr>
        <w:endnoteRef/>
      </w:r>
      <w:r>
        <w:t xml:space="preserve"> </w:t>
      </w:r>
      <w:r w:rsidR="00FD02E7">
        <w:tab/>
      </w:r>
      <w:r w:rsidR="00C733A5">
        <w:t>See Submission Nos 40, 67, 134, 156 and 183, all of which are available online</w:t>
      </w:r>
      <w:r>
        <w:t xml:space="preserve"> at </w:t>
      </w:r>
      <w:hyperlink r:id="rId12" w:history="1">
        <w:r w:rsidR="00C733A5" w:rsidRPr="00316EAD">
          <w:rPr>
            <w:rStyle w:val="Hyperlink"/>
          </w:rPr>
          <w:t>http://www.humanrights.gov.au/our-work/asylum-seekers-and-refugees/national-inquiry-children-immigration-detention-2014-0</w:t>
        </w:r>
      </w:hyperlink>
      <w:r w:rsidR="00C733A5">
        <w:t xml:space="preserve"> (viewed 13 April 2015)</w:t>
      </w:r>
      <w:r>
        <w:t>.</w:t>
      </w:r>
    </w:p>
  </w:endnote>
  <w:endnote w:id="16">
    <w:p w:rsidR="00EB7798" w:rsidRDefault="00EB7798" w:rsidP="00FD02E7">
      <w:pPr>
        <w:pStyle w:val="EndnoteText"/>
        <w:ind w:left="284" w:hanging="284"/>
      </w:pPr>
      <w:r>
        <w:rPr>
          <w:rStyle w:val="EndnoteReference"/>
        </w:rPr>
        <w:endnoteRef/>
      </w:r>
      <w:r>
        <w:t xml:space="preserve"> </w:t>
      </w:r>
      <w:r w:rsidR="00FD02E7">
        <w:tab/>
      </w:r>
      <w:r>
        <w:t xml:space="preserve">All of these public submissions are available online at </w:t>
      </w:r>
      <w:hyperlink r:id="rId13" w:history="1">
        <w:r w:rsidRPr="00316EAD">
          <w:rPr>
            <w:rStyle w:val="Hyperlink"/>
          </w:rPr>
          <w:t>http://www.humanrights.gov.au/our-work/asylum-seekers-and-refugees/national-inquiry-children-immigration-detention-2014-0</w:t>
        </w:r>
      </w:hyperlink>
      <w:r>
        <w:t xml:space="preserve">. </w:t>
      </w:r>
    </w:p>
  </w:endnote>
  <w:endnote w:id="17">
    <w:p w:rsidR="00CA58C5" w:rsidRDefault="00CA58C5" w:rsidP="00FD02E7">
      <w:pPr>
        <w:pStyle w:val="EndnoteText"/>
        <w:ind w:left="284" w:hanging="284"/>
      </w:pPr>
      <w:r>
        <w:rPr>
          <w:rStyle w:val="EndnoteReference"/>
        </w:rPr>
        <w:endnoteRef/>
      </w:r>
      <w:r>
        <w:t xml:space="preserve"> </w:t>
      </w:r>
      <w:r w:rsidR="00FD02E7">
        <w:tab/>
      </w:r>
      <w:r w:rsidR="00181D87">
        <w:t xml:space="preserve">See </w:t>
      </w:r>
      <w:r w:rsidR="00181D87" w:rsidRPr="00181D87">
        <w:rPr>
          <w:i/>
        </w:rPr>
        <w:t>Convention on the Rights of the Child</w:t>
      </w:r>
      <w:r w:rsidR="00FB5A73">
        <w:t>, 1989, a</w:t>
      </w:r>
      <w:r w:rsidR="00181D87">
        <w:t xml:space="preserve">rt 3(1). At </w:t>
      </w:r>
      <w:hyperlink r:id="rId14" w:history="1">
        <w:r w:rsidR="00181D87" w:rsidRPr="003D71C1">
          <w:rPr>
            <w:rStyle w:val="Hyperlink"/>
          </w:rPr>
          <w:t>http://www.austlii.edu.au/au/other/dfat/treaties/1991/4.html</w:t>
        </w:r>
      </w:hyperlink>
      <w:r w:rsidR="00181D87">
        <w:t xml:space="preserve"> (viewed 13 April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Pr="0090165F" w:rsidRDefault="00A4438B" w:rsidP="00162A8D">
    <w:pPr>
      <w:pStyle w:val="Footer"/>
      <w:jc w:val="right"/>
    </w:pPr>
    <w:r w:rsidRPr="0090165F">
      <w:fldChar w:fldCharType="begin"/>
    </w:r>
    <w:r w:rsidRPr="0090165F">
      <w:instrText xml:space="preserve"> PAGE   \* MERGEFORMAT </w:instrText>
    </w:r>
    <w:r w:rsidRPr="0090165F">
      <w:fldChar w:fldCharType="separate"/>
    </w:r>
    <w:r w:rsidR="00DA42ED">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A4438B" w:rsidRPr="008D1634" w:rsidTr="00C87F1C">
      <w:tc>
        <w:tcPr>
          <w:tcW w:w="1793" w:type="dxa"/>
          <w:tcBorders>
            <w:top w:val="single" w:sz="2" w:space="0" w:color="808080"/>
            <w:left w:val="nil"/>
            <w:bottom w:val="nil"/>
            <w:right w:val="nil"/>
          </w:tcBorders>
        </w:tcPr>
        <w:p w:rsidR="00A312FF" w:rsidRDefault="00A312FF" w:rsidP="00A312FF">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rsidR="00A4438B" w:rsidRPr="008D1634" w:rsidRDefault="00A4438B"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rsidR="00A4438B"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rsidR="00A4438B" w:rsidRPr="008D1634" w:rsidRDefault="00A4438B"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Complaints infoline</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www.humanrights.gov.au</w:t>
          </w:r>
        </w:p>
      </w:tc>
      <w:tc>
        <w:tcPr>
          <w:tcW w:w="1667" w:type="dxa"/>
          <w:tcBorders>
            <w:top w:val="single" w:sz="2" w:space="0" w:color="808080"/>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rsidR="00A4438B" w:rsidRPr="001B25B3" w:rsidRDefault="00A4438B"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D7" w:rsidRDefault="00F81FD7" w:rsidP="00F14C6D">
      <w:r>
        <w:separator/>
      </w:r>
    </w:p>
  </w:footnote>
  <w:footnote w:type="continuationSeparator" w:id="0">
    <w:p w:rsidR="00F81FD7" w:rsidRDefault="00F81FD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Default="00A4438B"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5" w:type="dxa"/>
      <w:tblLayout w:type="fixed"/>
      <w:tblLook w:val="00A0" w:firstRow="1" w:lastRow="0" w:firstColumn="1" w:lastColumn="0" w:noHBand="0" w:noVBand="0"/>
    </w:tblPr>
    <w:tblGrid>
      <w:gridCol w:w="3652"/>
      <w:gridCol w:w="301"/>
      <w:gridCol w:w="5152"/>
    </w:tblGrid>
    <w:tr w:rsidR="00A4438B" w:rsidRPr="00F67D3F" w:rsidTr="00672637">
      <w:trPr>
        <w:trHeight w:val="1603"/>
      </w:trPr>
      <w:tc>
        <w:tcPr>
          <w:tcW w:w="3652" w:type="dxa"/>
        </w:tcPr>
        <w:p w:rsidR="00A4438B" w:rsidRPr="008D1634" w:rsidRDefault="00B802E5"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5EF6DAB6" wp14:editId="3F316FC7">
                <wp:extent cx="2209800" cy="752475"/>
                <wp:effectExtent l="0" t="0" r="0" b="9525"/>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52475"/>
                        </a:xfrm>
                        <a:prstGeom prst="rect">
                          <a:avLst/>
                        </a:prstGeom>
                        <a:noFill/>
                        <a:ln>
                          <a:noFill/>
                        </a:ln>
                      </pic:spPr>
                    </pic:pic>
                  </a:graphicData>
                </a:graphic>
              </wp:inline>
            </w:drawing>
          </w:r>
        </w:p>
      </w:tc>
      <w:tc>
        <w:tcPr>
          <w:tcW w:w="301" w:type="dxa"/>
          <w:vAlign w:val="center"/>
        </w:tcPr>
        <w:p w:rsidR="00A4438B" w:rsidRPr="008D1634" w:rsidRDefault="00A4438B" w:rsidP="00331013">
          <w:pPr>
            <w:spacing w:before="0" w:after="0" w:line="210" w:lineRule="exact"/>
            <w:rPr>
              <w:rFonts w:cs="ArialMT"/>
              <w:i/>
              <w:color w:val="808080"/>
              <w:sz w:val="17"/>
              <w:lang w:val="en-US" w:eastAsia="en-US" w:bidi="en-US"/>
            </w:rPr>
          </w:pPr>
        </w:p>
      </w:tc>
      <w:tc>
        <w:tcPr>
          <w:tcW w:w="5152" w:type="dxa"/>
        </w:tcPr>
        <w:p w:rsidR="00C22712" w:rsidRDefault="00C22712" w:rsidP="00C22712">
          <w:pPr>
            <w:pStyle w:val="LogoType"/>
            <w:pBdr>
              <w:bottom w:val="none" w:sz="0" w:space="0" w:color="auto"/>
            </w:pBdr>
            <w:spacing w:before="0" w:after="0" w:line="240" w:lineRule="auto"/>
            <w:jc w:val="right"/>
            <w:rPr>
              <w:color w:val="646464"/>
              <w:spacing w:val="0"/>
              <w:kern w:val="144"/>
              <w:sz w:val="24"/>
              <w:lang w:val="en-US" w:eastAsia="en-US" w:bidi="en-US"/>
            </w:rPr>
          </w:pPr>
        </w:p>
        <w:p w:rsidR="00490E63" w:rsidRDefault="00490E63" w:rsidP="00490E63">
          <w:pPr>
            <w:pStyle w:val="LogoType"/>
            <w:pBdr>
              <w:bottom w:val="none" w:sz="0" w:space="0" w:color="auto"/>
            </w:pBdr>
            <w:spacing w:before="0" w:after="0" w:line="240" w:lineRule="auto"/>
            <w:jc w:val="right"/>
            <w:rPr>
              <w:color w:val="646464"/>
              <w:spacing w:val="0"/>
              <w:kern w:val="144"/>
              <w:sz w:val="24"/>
              <w:lang w:val="en-US" w:eastAsia="en-US" w:bidi="en-US"/>
            </w:rPr>
          </w:pPr>
        </w:p>
        <w:p w:rsidR="00A4438B" w:rsidRPr="00F67D3F" w:rsidRDefault="00B802E5" w:rsidP="00490E63">
          <w:pPr>
            <w:pStyle w:val="LogoType"/>
            <w:pBdr>
              <w:bottom w:val="none" w:sz="0" w:space="0" w:color="auto"/>
            </w:pBdr>
            <w:spacing w:before="0" w:after="0" w:line="240" w:lineRule="auto"/>
            <w:jc w:val="right"/>
            <w:rPr>
              <w:color w:val="646464"/>
              <w:spacing w:val="0"/>
              <w:kern w:val="144"/>
              <w:sz w:val="24"/>
              <w:lang w:val="en-US" w:eastAsia="en-US" w:bidi="en-US"/>
            </w:rPr>
          </w:pPr>
          <w:r>
            <w:rPr>
              <w:color w:val="646464"/>
              <w:spacing w:val="0"/>
              <w:kern w:val="144"/>
              <w:sz w:val="24"/>
              <w:lang w:val="en-US" w:eastAsia="en-US" w:bidi="en-US"/>
            </w:rPr>
            <w:t>President</w:t>
          </w:r>
        </w:p>
        <w:p w:rsidR="00F67D3F" w:rsidRPr="00F67D3F" w:rsidRDefault="00B802E5" w:rsidP="00F67D3F">
          <w:pPr>
            <w:pStyle w:val="LogoType"/>
            <w:pBdr>
              <w:bottom w:val="none" w:sz="0" w:space="0" w:color="auto"/>
            </w:pBdr>
            <w:spacing w:before="120" w:after="80" w:line="240" w:lineRule="auto"/>
            <w:jc w:val="right"/>
            <w:rPr>
              <w:spacing w:val="0"/>
              <w:kern w:val="144"/>
              <w:sz w:val="24"/>
              <w:lang w:val="en-US" w:eastAsia="en-US" w:bidi="en-US"/>
            </w:rPr>
          </w:pPr>
          <w:r>
            <w:rPr>
              <w:noProof/>
              <w:color w:val="646464"/>
              <w:spacing w:val="0"/>
              <w:kern w:val="144"/>
              <w:sz w:val="24"/>
            </w:rPr>
            <mc:AlternateContent>
              <mc:Choice Requires="wps">
                <w:drawing>
                  <wp:anchor distT="0" distB="0" distL="114300" distR="114300" simplePos="0" relativeHeight="251657728" behindDoc="0" locked="0" layoutInCell="1" allowOverlap="1" wp14:anchorId="669A0234" wp14:editId="3D5367B9">
                    <wp:simplePos x="0" y="0"/>
                    <wp:positionH relativeFrom="column">
                      <wp:posOffset>1388694</wp:posOffset>
                    </wp:positionH>
                    <wp:positionV relativeFrom="paragraph">
                      <wp:posOffset>39954</wp:posOffset>
                    </wp:positionV>
                    <wp:extent cx="1809118" cy="0"/>
                    <wp:effectExtent l="0" t="0" r="1968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8"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B25C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15pt" to="25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gwEwIAACg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" strokecolor="#5f5f5f"/>
                </w:pict>
              </mc:Fallback>
            </mc:AlternateContent>
          </w:r>
          <w:r>
            <w:rPr>
              <w:color w:val="646464"/>
              <w:spacing w:val="0"/>
              <w:kern w:val="144"/>
              <w:sz w:val="24"/>
              <w:lang w:val="en-US" w:eastAsia="en-US" w:bidi="en-US"/>
            </w:rPr>
            <w:t>Professor Gillian Triggs</w:t>
          </w:r>
        </w:p>
      </w:tc>
    </w:tr>
  </w:tbl>
  <w:p w:rsidR="00A4438B" w:rsidRPr="006E2FE7" w:rsidRDefault="00A4438B">
    <w:pPr>
      <w:pStyle w:val="Header"/>
      <w:rPr>
        <w:color w:val="7373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346E08"/>
    <w:multiLevelType w:val="hybridMultilevel"/>
    <w:tmpl w:val="FB6ABB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CA4F14"/>
    <w:multiLevelType w:val="hybridMultilevel"/>
    <w:tmpl w:val="CB0C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CB237C"/>
    <w:multiLevelType w:val="hybridMultilevel"/>
    <w:tmpl w:val="D1647160"/>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641C1AC4">
      <w:start w:val="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310851"/>
    <w:multiLevelType w:val="multilevel"/>
    <w:tmpl w:val="93EA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3A637A"/>
    <w:multiLevelType w:val="multilevel"/>
    <w:tmpl w:val="12FA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C452982"/>
    <w:multiLevelType w:val="hybridMultilevel"/>
    <w:tmpl w:val="4F304F7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6C7B6EB6"/>
    <w:multiLevelType w:val="hybridMultilevel"/>
    <w:tmpl w:val="2430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253C4C"/>
    <w:multiLevelType w:val="hybridMultilevel"/>
    <w:tmpl w:val="EFB21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7"/>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5"/>
  </w:num>
  <w:num w:numId="18">
    <w:abstractNumId w:val="22"/>
  </w:num>
  <w:num w:numId="19">
    <w:abstractNumId w:val="16"/>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1"/>
  </w:num>
  <w:num w:numId="23">
    <w:abstractNumId w:val="32"/>
  </w:num>
  <w:num w:numId="24">
    <w:abstractNumId w:val="33"/>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9"/>
  </w:num>
  <w:num w:numId="31">
    <w:abstractNumId w:val="14"/>
  </w:num>
  <w:num w:numId="32">
    <w:abstractNumId w:val="34"/>
  </w:num>
  <w:num w:numId="33">
    <w:abstractNumId w:val="20"/>
  </w:num>
  <w:num w:numId="34">
    <w:abstractNumId w:val="30"/>
  </w:num>
  <w:num w:numId="35">
    <w:abstractNumId w:val="24"/>
  </w:num>
  <w:num w:numId="36">
    <w:abstractNumId w:val="15"/>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06"/>
    <w:rsid w:val="00000871"/>
    <w:rsid w:val="000071C6"/>
    <w:rsid w:val="00007ED0"/>
    <w:rsid w:val="0001147B"/>
    <w:rsid w:val="00014A0A"/>
    <w:rsid w:val="00014E58"/>
    <w:rsid w:val="00031A24"/>
    <w:rsid w:val="000409D6"/>
    <w:rsid w:val="00041650"/>
    <w:rsid w:val="000440FD"/>
    <w:rsid w:val="00044E72"/>
    <w:rsid w:val="000570BF"/>
    <w:rsid w:val="000579B1"/>
    <w:rsid w:val="000637A7"/>
    <w:rsid w:val="000642C5"/>
    <w:rsid w:val="00071D44"/>
    <w:rsid w:val="0007273A"/>
    <w:rsid w:val="00074B3E"/>
    <w:rsid w:val="00074FD9"/>
    <w:rsid w:val="00075A4D"/>
    <w:rsid w:val="00081F3F"/>
    <w:rsid w:val="00083323"/>
    <w:rsid w:val="0009024D"/>
    <w:rsid w:val="00090DA0"/>
    <w:rsid w:val="00095A6D"/>
    <w:rsid w:val="00096B2C"/>
    <w:rsid w:val="00097A2F"/>
    <w:rsid w:val="000B0A5D"/>
    <w:rsid w:val="000B53EE"/>
    <w:rsid w:val="000B78A2"/>
    <w:rsid w:val="000C6982"/>
    <w:rsid w:val="000D2014"/>
    <w:rsid w:val="000E0787"/>
    <w:rsid w:val="000E2DDF"/>
    <w:rsid w:val="000E38FA"/>
    <w:rsid w:val="000F18C3"/>
    <w:rsid w:val="000F74CA"/>
    <w:rsid w:val="0010589D"/>
    <w:rsid w:val="00111565"/>
    <w:rsid w:val="00114502"/>
    <w:rsid w:val="00114B23"/>
    <w:rsid w:val="00123209"/>
    <w:rsid w:val="001373D3"/>
    <w:rsid w:val="00142AA0"/>
    <w:rsid w:val="00162A8D"/>
    <w:rsid w:val="001662B6"/>
    <w:rsid w:val="001726AA"/>
    <w:rsid w:val="00172E3B"/>
    <w:rsid w:val="00176220"/>
    <w:rsid w:val="00180EBE"/>
    <w:rsid w:val="00181378"/>
    <w:rsid w:val="00181D87"/>
    <w:rsid w:val="00183B1A"/>
    <w:rsid w:val="00186259"/>
    <w:rsid w:val="00193836"/>
    <w:rsid w:val="001A0103"/>
    <w:rsid w:val="001A1637"/>
    <w:rsid w:val="001B0353"/>
    <w:rsid w:val="001B1E2C"/>
    <w:rsid w:val="001B25B3"/>
    <w:rsid w:val="001C7AA6"/>
    <w:rsid w:val="001D0379"/>
    <w:rsid w:val="001D36DB"/>
    <w:rsid w:val="001E195B"/>
    <w:rsid w:val="001E6DF6"/>
    <w:rsid w:val="001E7DF6"/>
    <w:rsid w:val="001F110E"/>
    <w:rsid w:val="001F2BBB"/>
    <w:rsid w:val="00201544"/>
    <w:rsid w:val="00201EFE"/>
    <w:rsid w:val="00214DBF"/>
    <w:rsid w:val="00215015"/>
    <w:rsid w:val="002172B7"/>
    <w:rsid w:val="00217E73"/>
    <w:rsid w:val="00221721"/>
    <w:rsid w:val="00236C4F"/>
    <w:rsid w:val="0024557E"/>
    <w:rsid w:val="00251597"/>
    <w:rsid w:val="00256AF4"/>
    <w:rsid w:val="002615F7"/>
    <w:rsid w:val="00262DFE"/>
    <w:rsid w:val="0026789A"/>
    <w:rsid w:val="00273E00"/>
    <w:rsid w:val="002765B7"/>
    <w:rsid w:val="002816CE"/>
    <w:rsid w:val="00285325"/>
    <w:rsid w:val="002932DC"/>
    <w:rsid w:val="0029592A"/>
    <w:rsid w:val="00296EBC"/>
    <w:rsid w:val="002A7D17"/>
    <w:rsid w:val="002B37A6"/>
    <w:rsid w:val="002B45B2"/>
    <w:rsid w:val="002B45DB"/>
    <w:rsid w:val="002C0F17"/>
    <w:rsid w:val="002C23DB"/>
    <w:rsid w:val="002C7CE7"/>
    <w:rsid w:val="002D0C4F"/>
    <w:rsid w:val="002D54E2"/>
    <w:rsid w:val="002E093E"/>
    <w:rsid w:val="002E095F"/>
    <w:rsid w:val="002E1678"/>
    <w:rsid w:val="002E7DAE"/>
    <w:rsid w:val="002F5BB8"/>
    <w:rsid w:val="00307913"/>
    <w:rsid w:val="00310ED4"/>
    <w:rsid w:val="0031492A"/>
    <w:rsid w:val="00316C1A"/>
    <w:rsid w:val="00320FCC"/>
    <w:rsid w:val="00331013"/>
    <w:rsid w:val="003341CA"/>
    <w:rsid w:val="003358F4"/>
    <w:rsid w:val="003373CE"/>
    <w:rsid w:val="003465C3"/>
    <w:rsid w:val="00354D7C"/>
    <w:rsid w:val="003570EF"/>
    <w:rsid w:val="00360344"/>
    <w:rsid w:val="003731B3"/>
    <w:rsid w:val="0037483E"/>
    <w:rsid w:val="0037737D"/>
    <w:rsid w:val="00381C4B"/>
    <w:rsid w:val="00384391"/>
    <w:rsid w:val="003909E5"/>
    <w:rsid w:val="00392158"/>
    <w:rsid w:val="00394BB2"/>
    <w:rsid w:val="003A370B"/>
    <w:rsid w:val="003A3B4A"/>
    <w:rsid w:val="003A6426"/>
    <w:rsid w:val="003A7560"/>
    <w:rsid w:val="003C3D19"/>
    <w:rsid w:val="003C5EEB"/>
    <w:rsid w:val="003C7B67"/>
    <w:rsid w:val="003D783C"/>
    <w:rsid w:val="003E7C58"/>
    <w:rsid w:val="003F3CD4"/>
    <w:rsid w:val="004219AB"/>
    <w:rsid w:val="00436828"/>
    <w:rsid w:val="004372B9"/>
    <w:rsid w:val="00442676"/>
    <w:rsid w:val="0044690C"/>
    <w:rsid w:val="004510B9"/>
    <w:rsid w:val="00455CD8"/>
    <w:rsid w:val="0047014E"/>
    <w:rsid w:val="0047364D"/>
    <w:rsid w:val="00474063"/>
    <w:rsid w:val="00484F87"/>
    <w:rsid w:val="00490E63"/>
    <w:rsid w:val="004B3F64"/>
    <w:rsid w:val="004C2543"/>
    <w:rsid w:val="004D6BC5"/>
    <w:rsid w:val="004E0960"/>
    <w:rsid w:val="004E4F81"/>
    <w:rsid w:val="004F24D3"/>
    <w:rsid w:val="004F4729"/>
    <w:rsid w:val="00513540"/>
    <w:rsid w:val="00561F49"/>
    <w:rsid w:val="00570964"/>
    <w:rsid w:val="005729D3"/>
    <w:rsid w:val="0057396F"/>
    <w:rsid w:val="005744D4"/>
    <w:rsid w:val="005747B5"/>
    <w:rsid w:val="00577545"/>
    <w:rsid w:val="00583B77"/>
    <w:rsid w:val="00584656"/>
    <w:rsid w:val="00596A9D"/>
    <w:rsid w:val="005B50D7"/>
    <w:rsid w:val="005D1F34"/>
    <w:rsid w:val="005D6825"/>
    <w:rsid w:val="005E0D8B"/>
    <w:rsid w:val="005E3E0C"/>
    <w:rsid w:val="005F36BE"/>
    <w:rsid w:val="005F7015"/>
    <w:rsid w:val="006054A5"/>
    <w:rsid w:val="0061005F"/>
    <w:rsid w:val="0061324D"/>
    <w:rsid w:val="00624203"/>
    <w:rsid w:val="006243E4"/>
    <w:rsid w:val="00640C6B"/>
    <w:rsid w:val="00643CC4"/>
    <w:rsid w:val="00654095"/>
    <w:rsid w:val="00663856"/>
    <w:rsid w:val="00670024"/>
    <w:rsid w:val="00672637"/>
    <w:rsid w:val="0067378C"/>
    <w:rsid w:val="00683698"/>
    <w:rsid w:val="00690436"/>
    <w:rsid w:val="006A6BB3"/>
    <w:rsid w:val="006B2544"/>
    <w:rsid w:val="006B602B"/>
    <w:rsid w:val="006C1469"/>
    <w:rsid w:val="006C53A8"/>
    <w:rsid w:val="006C6741"/>
    <w:rsid w:val="006D1952"/>
    <w:rsid w:val="006D5EE5"/>
    <w:rsid w:val="006E2FE7"/>
    <w:rsid w:val="006F1E65"/>
    <w:rsid w:val="006F7584"/>
    <w:rsid w:val="0071198E"/>
    <w:rsid w:val="00725939"/>
    <w:rsid w:val="007272AA"/>
    <w:rsid w:val="00734627"/>
    <w:rsid w:val="00740E26"/>
    <w:rsid w:val="00743FDF"/>
    <w:rsid w:val="00745BDC"/>
    <w:rsid w:val="00747018"/>
    <w:rsid w:val="007545AE"/>
    <w:rsid w:val="00755A66"/>
    <w:rsid w:val="00756B8D"/>
    <w:rsid w:val="007606CC"/>
    <w:rsid w:val="00763E0B"/>
    <w:rsid w:val="00770DCB"/>
    <w:rsid w:val="00773C4F"/>
    <w:rsid w:val="00775485"/>
    <w:rsid w:val="0077592E"/>
    <w:rsid w:val="00776F45"/>
    <w:rsid w:val="00797A14"/>
    <w:rsid w:val="007A2643"/>
    <w:rsid w:val="007A4AF6"/>
    <w:rsid w:val="007B10FA"/>
    <w:rsid w:val="007B2F60"/>
    <w:rsid w:val="007D72F1"/>
    <w:rsid w:val="007F03B8"/>
    <w:rsid w:val="007F668A"/>
    <w:rsid w:val="007F68C3"/>
    <w:rsid w:val="0081198E"/>
    <w:rsid w:val="00811C24"/>
    <w:rsid w:val="00815463"/>
    <w:rsid w:val="008244AA"/>
    <w:rsid w:val="00834BA8"/>
    <w:rsid w:val="0083511A"/>
    <w:rsid w:val="00852AA9"/>
    <w:rsid w:val="00866BB8"/>
    <w:rsid w:val="00871C54"/>
    <w:rsid w:val="008724DE"/>
    <w:rsid w:val="008A66C0"/>
    <w:rsid w:val="008B3662"/>
    <w:rsid w:val="008B401B"/>
    <w:rsid w:val="008B4C13"/>
    <w:rsid w:val="008C64D2"/>
    <w:rsid w:val="008D0418"/>
    <w:rsid w:val="008D426E"/>
    <w:rsid w:val="008D6140"/>
    <w:rsid w:val="008E3D60"/>
    <w:rsid w:val="008E675D"/>
    <w:rsid w:val="008F50B7"/>
    <w:rsid w:val="009009C1"/>
    <w:rsid w:val="0090165F"/>
    <w:rsid w:val="009345AF"/>
    <w:rsid w:val="009346F1"/>
    <w:rsid w:val="00944463"/>
    <w:rsid w:val="00945A4F"/>
    <w:rsid w:val="00954DF3"/>
    <w:rsid w:val="00966C2F"/>
    <w:rsid w:val="009709E5"/>
    <w:rsid w:val="00974980"/>
    <w:rsid w:val="009804AF"/>
    <w:rsid w:val="00991874"/>
    <w:rsid w:val="009A2E9A"/>
    <w:rsid w:val="009B0323"/>
    <w:rsid w:val="009B03DA"/>
    <w:rsid w:val="009B6582"/>
    <w:rsid w:val="009C1024"/>
    <w:rsid w:val="009E3F99"/>
    <w:rsid w:val="009E6D21"/>
    <w:rsid w:val="009F1ADF"/>
    <w:rsid w:val="009F4FB4"/>
    <w:rsid w:val="00A0406E"/>
    <w:rsid w:val="00A16C80"/>
    <w:rsid w:val="00A312FF"/>
    <w:rsid w:val="00A32F15"/>
    <w:rsid w:val="00A3395A"/>
    <w:rsid w:val="00A36397"/>
    <w:rsid w:val="00A41355"/>
    <w:rsid w:val="00A43B92"/>
    <w:rsid w:val="00A4438B"/>
    <w:rsid w:val="00A5443C"/>
    <w:rsid w:val="00A6179E"/>
    <w:rsid w:val="00A742CA"/>
    <w:rsid w:val="00A74BC4"/>
    <w:rsid w:val="00A75265"/>
    <w:rsid w:val="00A859EC"/>
    <w:rsid w:val="00A90A64"/>
    <w:rsid w:val="00A9225B"/>
    <w:rsid w:val="00AA7222"/>
    <w:rsid w:val="00AD1B89"/>
    <w:rsid w:val="00AE0DDC"/>
    <w:rsid w:val="00AE19A4"/>
    <w:rsid w:val="00AF15FC"/>
    <w:rsid w:val="00B0666A"/>
    <w:rsid w:val="00B10447"/>
    <w:rsid w:val="00B13D59"/>
    <w:rsid w:val="00B15F40"/>
    <w:rsid w:val="00B206E0"/>
    <w:rsid w:val="00B21EC3"/>
    <w:rsid w:val="00B257F8"/>
    <w:rsid w:val="00B277E0"/>
    <w:rsid w:val="00B4015A"/>
    <w:rsid w:val="00B40AA3"/>
    <w:rsid w:val="00B53264"/>
    <w:rsid w:val="00B53A65"/>
    <w:rsid w:val="00B56DEE"/>
    <w:rsid w:val="00B60904"/>
    <w:rsid w:val="00B66BF3"/>
    <w:rsid w:val="00B72A37"/>
    <w:rsid w:val="00B75CF9"/>
    <w:rsid w:val="00B802E5"/>
    <w:rsid w:val="00B9404F"/>
    <w:rsid w:val="00B94B4E"/>
    <w:rsid w:val="00BA13CE"/>
    <w:rsid w:val="00BA262D"/>
    <w:rsid w:val="00BC727A"/>
    <w:rsid w:val="00BD400C"/>
    <w:rsid w:val="00BD47DC"/>
    <w:rsid w:val="00BE12C4"/>
    <w:rsid w:val="00BE5886"/>
    <w:rsid w:val="00BF0706"/>
    <w:rsid w:val="00BF1C1B"/>
    <w:rsid w:val="00BF2E16"/>
    <w:rsid w:val="00C0321F"/>
    <w:rsid w:val="00C04006"/>
    <w:rsid w:val="00C05473"/>
    <w:rsid w:val="00C22712"/>
    <w:rsid w:val="00C25BDA"/>
    <w:rsid w:val="00C3142A"/>
    <w:rsid w:val="00C352D1"/>
    <w:rsid w:val="00C36C1B"/>
    <w:rsid w:val="00C52035"/>
    <w:rsid w:val="00C546CA"/>
    <w:rsid w:val="00C55B0F"/>
    <w:rsid w:val="00C67F55"/>
    <w:rsid w:val="00C71D32"/>
    <w:rsid w:val="00C733A5"/>
    <w:rsid w:val="00C76FE3"/>
    <w:rsid w:val="00C85D87"/>
    <w:rsid w:val="00C86B6D"/>
    <w:rsid w:val="00C87F1C"/>
    <w:rsid w:val="00CA0D78"/>
    <w:rsid w:val="00CA58C5"/>
    <w:rsid w:val="00CC1A5F"/>
    <w:rsid w:val="00CC2B91"/>
    <w:rsid w:val="00CC6AE9"/>
    <w:rsid w:val="00D04415"/>
    <w:rsid w:val="00D1390E"/>
    <w:rsid w:val="00D30209"/>
    <w:rsid w:val="00D41C6C"/>
    <w:rsid w:val="00D43D16"/>
    <w:rsid w:val="00D506B3"/>
    <w:rsid w:val="00D52509"/>
    <w:rsid w:val="00D532D6"/>
    <w:rsid w:val="00D57124"/>
    <w:rsid w:val="00D61BCE"/>
    <w:rsid w:val="00D62CF0"/>
    <w:rsid w:val="00D65207"/>
    <w:rsid w:val="00D65C76"/>
    <w:rsid w:val="00D857CF"/>
    <w:rsid w:val="00D93C82"/>
    <w:rsid w:val="00DA2F73"/>
    <w:rsid w:val="00DA42ED"/>
    <w:rsid w:val="00DB58F7"/>
    <w:rsid w:val="00DC462F"/>
    <w:rsid w:val="00DD4A7D"/>
    <w:rsid w:val="00DE047A"/>
    <w:rsid w:val="00DE67ED"/>
    <w:rsid w:val="00DF301F"/>
    <w:rsid w:val="00DF626A"/>
    <w:rsid w:val="00E00D57"/>
    <w:rsid w:val="00E041E6"/>
    <w:rsid w:val="00E05AE7"/>
    <w:rsid w:val="00E14A38"/>
    <w:rsid w:val="00E24FA3"/>
    <w:rsid w:val="00E256F8"/>
    <w:rsid w:val="00E33654"/>
    <w:rsid w:val="00E36306"/>
    <w:rsid w:val="00E36B41"/>
    <w:rsid w:val="00E40572"/>
    <w:rsid w:val="00E45954"/>
    <w:rsid w:val="00E5221E"/>
    <w:rsid w:val="00E57F61"/>
    <w:rsid w:val="00E67689"/>
    <w:rsid w:val="00E7188B"/>
    <w:rsid w:val="00E95795"/>
    <w:rsid w:val="00EA33D1"/>
    <w:rsid w:val="00EB7768"/>
    <w:rsid w:val="00EB7798"/>
    <w:rsid w:val="00ED0983"/>
    <w:rsid w:val="00EE08DE"/>
    <w:rsid w:val="00EE462D"/>
    <w:rsid w:val="00EE50BC"/>
    <w:rsid w:val="00EF1261"/>
    <w:rsid w:val="00EF2384"/>
    <w:rsid w:val="00F03B53"/>
    <w:rsid w:val="00F064F3"/>
    <w:rsid w:val="00F0714F"/>
    <w:rsid w:val="00F134D9"/>
    <w:rsid w:val="00F1449A"/>
    <w:rsid w:val="00F145B3"/>
    <w:rsid w:val="00F14C6D"/>
    <w:rsid w:val="00F25B68"/>
    <w:rsid w:val="00F27B1B"/>
    <w:rsid w:val="00F366D7"/>
    <w:rsid w:val="00F36924"/>
    <w:rsid w:val="00F50428"/>
    <w:rsid w:val="00F57356"/>
    <w:rsid w:val="00F61234"/>
    <w:rsid w:val="00F67D3F"/>
    <w:rsid w:val="00F70FB1"/>
    <w:rsid w:val="00F73284"/>
    <w:rsid w:val="00F74077"/>
    <w:rsid w:val="00F81FD7"/>
    <w:rsid w:val="00F84BE4"/>
    <w:rsid w:val="00FA137A"/>
    <w:rsid w:val="00FA19FE"/>
    <w:rsid w:val="00FA1DFC"/>
    <w:rsid w:val="00FA32BF"/>
    <w:rsid w:val="00FA6159"/>
    <w:rsid w:val="00FA6C61"/>
    <w:rsid w:val="00FA7057"/>
    <w:rsid w:val="00FB1E37"/>
    <w:rsid w:val="00FB5A73"/>
    <w:rsid w:val="00FB625D"/>
    <w:rsid w:val="00FC3F0C"/>
    <w:rsid w:val="00FD02E7"/>
    <w:rsid w:val="00FE1143"/>
    <w:rsid w:val="00FE6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18433">
      <o:colormru v:ext="edit" colors="#5f5f5f"/>
    </o:shapedefaults>
    <o:shapelayout v:ext="edit">
      <o:idmap v:ext="edit" data="1"/>
    </o:shapelayout>
  </w:shapeDefaults>
  <w:decimalSymbol w:val="."/>
  <w:listSeparator w:val=","/>
  <w15:docId w15:val="{EAA9ED7C-1FC1-4243-AC4F-30914046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BalloonText">
    <w:name w:val="Balloon Text"/>
    <w:basedOn w:val="Normal"/>
    <w:semiHidden/>
    <w:locked/>
    <w:rsid w:val="006E2FE7"/>
    <w:rPr>
      <w:rFonts w:ascii="Tahoma" w:hAnsi="Tahoma" w:cs="Tahoma"/>
      <w:sz w:val="16"/>
      <w:szCs w:val="16"/>
    </w:rPr>
  </w:style>
  <w:style w:type="paragraph" w:styleId="ListParagraph">
    <w:name w:val="List Paragraph"/>
    <w:basedOn w:val="Normal"/>
    <w:uiPriority w:val="34"/>
    <w:qFormat/>
    <w:rsid w:val="00866BB8"/>
    <w:pPr>
      <w:ind w:left="720"/>
      <w:contextualSpacing/>
    </w:pPr>
  </w:style>
  <w:style w:type="paragraph" w:styleId="Revision">
    <w:name w:val="Revision"/>
    <w:hidden/>
    <w:uiPriority w:val="99"/>
    <w:semiHidden/>
    <w:rsid w:val="009E6D21"/>
    <w:rPr>
      <w:rFonts w:ascii="Arial" w:hAnsi="Arial"/>
      <w:sz w:val="24"/>
      <w:szCs w:val="24"/>
    </w:rPr>
  </w:style>
  <w:style w:type="character" w:styleId="CommentReference">
    <w:name w:val="annotation reference"/>
    <w:basedOn w:val="DefaultParagraphFont"/>
    <w:locked/>
    <w:rsid w:val="00E40572"/>
    <w:rPr>
      <w:sz w:val="16"/>
      <w:szCs w:val="16"/>
    </w:rPr>
  </w:style>
  <w:style w:type="paragraph" w:styleId="CommentText">
    <w:name w:val="annotation text"/>
    <w:basedOn w:val="Normal"/>
    <w:link w:val="CommentTextChar"/>
    <w:locked/>
    <w:rsid w:val="00E40572"/>
    <w:rPr>
      <w:sz w:val="20"/>
      <w:szCs w:val="20"/>
    </w:rPr>
  </w:style>
  <w:style w:type="character" w:customStyle="1" w:styleId="CommentTextChar">
    <w:name w:val="Comment Text Char"/>
    <w:basedOn w:val="DefaultParagraphFont"/>
    <w:link w:val="CommentText"/>
    <w:rsid w:val="00E40572"/>
    <w:rPr>
      <w:rFonts w:ascii="Arial" w:hAnsi="Arial"/>
    </w:rPr>
  </w:style>
  <w:style w:type="paragraph" w:styleId="CommentSubject">
    <w:name w:val="annotation subject"/>
    <w:basedOn w:val="CommentText"/>
    <w:next w:val="CommentText"/>
    <w:link w:val="CommentSubjectChar"/>
    <w:locked/>
    <w:rsid w:val="00E40572"/>
    <w:rPr>
      <w:b/>
      <w:bCs/>
    </w:rPr>
  </w:style>
  <w:style w:type="character" w:customStyle="1" w:styleId="CommentSubjectChar">
    <w:name w:val="Comment Subject Char"/>
    <w:basedOn w:val="CommentTextChar"/>
    <w:link w:val="CommentSubject"/>
    <w:rsid w:val="00E40572"/>
    <w:rPr>
      <w:rFonts w:ascii="Arial" w:hAnsi="Arial"/>
      <w:b/>
      <w:bCs/>
    </w:rPr>
  </w:style>
  <w:style w:type="paragraph" w:customStyle="1" w:styleId="SubmissionNormal">
    <w:name w:val="Submission Normal"/>
    <w:aliases w:val="No Spacing1,No Spacing11"/>
    <w:basedOn w:val="Normal"/>
    <w:link w:val="SubmissionNormalChar"/>
    <w:qFormat/>
    <w:rsid w:val="003358F4"/>
    <w:pPr>
      <w:numPr>
        <w:numId w:val="36"/>
      </w:numPr>
    </w:pPr>
  </w:style>
  <w:style w:type="character" w:customStyle="1" w:styleId="SubmissionNormalChar">
    <w:name w:val="Submission Normal Char"/>
    <w:aliases w:val="No Spacing Char,No Spacing1 Char,No Spacing11 Char,No Spacing2 Char"/>
    <w:link w:val="SubmissionNormal"/>
    <w:rsid w:val="003358F4"/>
    <w:rPr>
      <w:rFonts w:ascii="Arial" w:hAnsi="Arial"/>
      <w:sz w:val="24"/>
      <w:szCs w:val="24"/>
    </w:rPr>
  </w:style>
  <w:style w:type="paragraph" w:customStyle="1" w:styleId="Default">
    <w:name w:val="Default"/>
    <w:rsid w:val="007759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1554">
      <w:bodyDiv w:val="1"/>
      <w:marLeft w:val="0"/>
      <w:marRight w:val="0"/>
      <w:marTop w:val="0"/>
      <w:marBottom w:val="0"/>
      <w:divBdr>
        <w:top w:val="none" w:sz="0" w:space="0" w:color="auto"/>
        <w:left w:val="none" w:sz="0" w:space="0" w:color="auto"/>
        <w:bottom w:val="none" w:sz="0" w:space="0" w:color="auto"/>
        <w:right w:val="none" w:sz="0" w:space="0" w:color="auto"/>
      </w:divBdr>
      <w:divsChild>
        <w:div w:id="2061857093">
          <w:marLeft w:val="0"/>
          <w:marRight w:val="0"/>
          <w:marTop w:val="0"/>
          <w:marBottom w:val="0"/>
          <w:divBdr>
            <w:top w:val="none" w:sz="0" w:space="0" w:color="auto"/>
            <w:left w:val="none" w:sz="0" w:space="0" w:color="auto"/>
            <w:bottom w:val="none" w:sz="0" w:space="0" w:color="auto"/>
            <w:right w:val="none" w:sz="0" w:space="0" w:color="auto"/>
          </w:divBdr>
          <w:divsChild>
            <w:div w:id="1921670060">
              <w:marLeft w:val="0"/>
              <w:marRight w:val="0"/>
              <w:marTop w:val="0"/>
              <w:marBottom w:val="0"/>
              <w:divBdr>
                <w:top w:val="none" w:sz="0" w:space="0" w:color="auto"/>
                <w:left w:val="none" w:sz="0" w:space="0" w:color="auto"/>
                <w:bottom w:val="none" w:sz="0" w:space="0" w:color="auto"/>
                <w:right w:val="none" w:sz="0" w:space="0" w:color="auto"/>
              </w:divBdr>
              <w:divsChild>
                <w:div w:id="170217607">
                  <w:marLeft w:val="0"/>
                  <w:marRight w:val="0"/>
                  <w:marTop w:val="0"/>
                  <w:marBottom w:val="0"/>
                  <w:divBdr>
                    <w:top w:val="none" w:sz="0" w:space="0" w:color="auto"/>
                    <w:left w:val="none" w:sz="0" w:space="0" w:color="auto"/>
                    <w:bottom w:val="none" w:sz="0" w:space="0" w:color="auto"/>
                    <w:right w:val="none" w:sz="0" w:space="0" w:color="auto"/>
                  </w:divBdr>
                  <w:divsChild>
                    <w:div w:id="936904675">
                      <w:marLeft w:val="0"/>
                      <w:marRight w:val="0"/>
                      <w:marTop w:val="0"/>
                      <w:marBottom w:val="0"/>
                      <w:divBdr>
                        <w:top w:val="none" w:sz="0" w:space="0" w:color="auto"/>
                        <w:left w:val="none" w:sz="0" w:space="0" w:color="auto"/>
                        <w:bottom w:val="none" w:sz="0" w:space="0" w:color="auto"/>
                        <w:right w:val="none" w:sz="0" w:space="0" w:color="auto"/>
                      </w:divBdr>
                      <w:divsChild>
                        <w:div w:id="1087726470">
                          <w:marLeft w:val="0"/>
                          <w:marRight w:val="0"/>
                          <w:marTop w:val="0"/>
                          <w:marBottom w:val="0"/>
                          <w:divBdr>
                            <w:top w:val="none" w:sz="0" w:space="0" w:color="auto"/>
                            <w:left w:val="none" w:sz="0" w:space="0" w:color="auto"/>
                            <w:bottom w:val="none" w:sz="0" w:space="0" w:color="auto"/>
                            <w:right w:val="none" w:sz="0" w:space="0" w:color="auto"/>
                          </w:divBdr>
                          <w:divsChild>
                            <w:div w:id="1401709954">
                              <w:marLeft w:val="0"/>
                              <w:marRight w:val="0"/>
                              <w:marTop w:val="0"/>
                              <w:marBottom w:val="0"/>
                              <w:divBdr>
                                <w:top w:val="none" w:sz="0" w:space="0" w:color="auto"/>
                                <w:left w:val="none" w:sz="0" w:space="0" w:color="auto"/>
                                <w:bottom w:val="none" w:sz="0" w:space="0" w:color="auto"/>
                                <w:right w:val="none" w:sz="0" w:space="0" w:color="auto"/>
                              </w:divBdr>
                              <w:divsChild>
                                <w:div w:id="2084646203">
                                  <w:marLeft w:val="0"/>
                                  <w:marRight w:val="0"/>
                                  <w:marTop w:val="0"/>
                                  <w:marBottom w:val="0"/>
                                  <w:divBdr>
                                    <w:top w:val="none" w:sz="0" w:space="0" w:color="auto"/>
                                    <w:left w:val="none" w:sz="0" w:space="0" w:color="auto"/>
                                    <w:bottom w:val="none" w:sz="0" w:space="0" w:color="auto"/>
                                    <w:right w:val="none" w:sz="0" w:space="0" w:color="auto"/>
                                  </w:divBdr>
                                  <w:divsChild>
                                    <w:div w:id="161743261">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980220">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694354104">
      <w:bodyDiv w:val="1"/>
      <w:marLeft w:val="0"/>
      <w:marRight w:val="0"/>
      <w:marTop w:val="0"/>
      <w:marBottom w:val="0"/>
      <w:divBdr>
        <w:top w:val="none" w:sz="0" w:space="0" w:color="auto"/>
        <w:left w:val="none" w:sz="0" w:space="0" w:color="auto"/>
        <w:bottom w:val="none" w:sz="0" w:space="0" w:color="auto"/>
        <w:right w:val="none" w:sz="0" w:space="0" w:color="auto"/>
      </w:divBdr>
      <w:divsChild>
        <w:div w:id="1122261550">
          <w:marLeft w:val="0"/>
          <w:marRight w:val="0"/>
          <w:marTop w:val="0"/>
          <w:marBottom w:val="0"/>
          <w:divBdr>
            <w:top w:val="none" w:sz="0" w:space="0" w:color="auto"/>
            <w:left w:val="none" w:sz="0" w:space="0" w:color="auto"/>
            <w:bottom w:val="none" w:sz="0" w:space="0" w:color="auto"/>
            <w:right w:val="none" w:sz="0" w:space="0" w:color="auto"/>
          </w:divBdr>
          <w:divsChild>
            <w:div w:id="228468320">
              <w:marLeft w:val="0"/>
              <w:marRight w:val="0"/>
              <w:marTop w:val="0"/>
              <w:marBottom w:val="0"/>
              <w:divBdr>
                <w:top w:val="none" w:sz="0" w:space="0" w:color="auto"/>
                <w:left w:val="none" w:sz="0" w:space="0" w:color="auto"/>
                <w:bottom w:val="none" w:sz="0" w:space="0" w:color="auto"/>
                <w:right w:val="none" w:sz="0" w:space="0" w:color="auto"/>
              </w:divBdr>
              <w:divsChild>
                <w:div w:id="414596651">
                  <w:marLeft w:val="0"/>
                  <w:marRight w:val="0"/>
                  <w:marTop w:val="0"/>
                  <w:marBottom w:val="0"/>
                  <w:divBdr>
                    <w:top w:val="none" w:sz="0" w:space="0" w:color="auto"/>
                    <w:left w:val="none" w:sz="0" w:space="0" w:color="auto"/>
                    <w:bottom w:val="none" w:sz="0" w:space="0" w:color="auto"/>
                    <w:right w:val="none" w:sz="0" w:space="0" w:color="auto"/>
                  </w:divBdr>
                  <w:divsChild>
                    <w:div w:id="756251517">
                      <w:marLeft w:val="0"/>
                      <w:marRight w:val="0"/>
                      <w:marTop w:val="0"/>
                      <w:marBottom w:val="0"/>
                      <w:divBdr>
                        <w:top w:val="none" w:sz="0" w:space="0" w:color="auto"/>
                        <w:left w:val="none" w:sz="0" w:space="0" w:color="auto"/>
                        <w:bottom w:val="none" w:sz="0" w:space="0" w:color="auto"/>
                        <w:right w:val="none" w:sz="0" w:space="0" w:color="auto"/>
                      </w:divBdr>
                      <w:divsChild>
                        <w:div w:id="684524842">
                          <w:marLeft w:val="0"/>
                          <w:marRight w:val="0"/>
                          <w:marTop w:val="0"/>
                          <w:marBottom w:val="0"/>
                          <w:divBdr>
                            <w:top w:val="none" w:sz="0" w:space="0" w:color="auto"/>
                            <w:left w:val="none" w:sz="0" w:space="0" w:color="auto"/>
                            <w:bottom w:val="none" w:sz="0" w:space="0" w:color="auto"/>
                            <w:right w:val="none" w:sz="0" w:space="0" w:color="auto"/>
                          </w:divBdr>
                          <w:divsChild>
                            <w:div w:id="108624232">
                              <w:marLeft w:val="0"/>
                              <w:marRight w:val="0"/>
                              <w:marTop w:val="0"/>
                              <w:marBottom w:val="0"/>
                              <w:divBdr>
                                <w:top w:val="none" w:sz="0" w:space="0" w:color="auto"/>
                                <w:left w:val="none" w:sz="0" w:space="0" w:color="auto"/>
                                <w:bottom w:val="none" w:sz="0" w:space="0" w:color="auto"/>
                                <w:right w:val="none" w:sz="0" w:space="0" w:color="auto"/>
                              </w:divBdr>
                              <w:divsChild>
                                <w:div w:id="19308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1108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alprocessingnauru.sen@ap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aph.gov.au/Parliamentary_Business/Committees/Joint/Human_Rights/Completed_inquiries/2013/2013/92013/index" TargetMode="External"/><Relationship Id="rId13" Type="http://schemas.openxmlformats.org/officeDocument/2006/relationships/hyperlink" Target="http://www.humanrights.gov.au/our-work/asylum-seekers-and-refugees/national-inquiry-children-immigration-detention-2014-0" TargetMode="External"/><Relationship Id="rId3" Type="http://schemas.openxmlformats.org/officeDocument/2006/relationships/hyperlink" Target="http://www.humanrights.gov.au/publications/asylum-seekers-refugees-and-human-rights-snapshot-report" TargetMode="External"/><Relationship Id="rId7" Type="http://schemas.openxmlformats.org/officeDocument/2006/relationships/hyperlink" Target="http://dfat.gov.au/geo/nauru/Pages/memorandum-of-understanding-between-the-republic-of-nauru-and-the-commonwealth-of-australia-relating-to-the-transfer-to-and.aspx" TargetMode="External"/><Relationship Id="rId12" Type="http://schemas.openxmlformats.org/officeDocument/2006/relationships/hyperlink" Target="http://www.humanrights.gov.au/our-work/asylum-seekers-and-refugees/national-inquiry-children-immigration-detention-2014-0" TargetMode="External"/><Relationship Id="rId2" Type="http://schemas.openxmlformats.org/officeDocument/2006/relationships/hyperlink" Target="http://www.humanrights.gov.au/submissions/examination-migration-regional-processing-package-legislation" TargetMode="External"/><Relationship Id="rId1" Type="http://schemas.openxmlformats.org/officeDocument/2006/relationships/hyperlink" Target="http://www.humanrights.gov.au/publications/forgotten-children-national-inquiry-children-immigration-detention-2014/12-children" TargetMode="External"/><Relationship Id="rId6" Type="http://schemas.openxmlformats.org/officeDocument/2006/relationships/hyperlink" Target="http://www.humanrights.gov.au/transfer-asylum-seekers-third-countries" TargetMode="External"/><Relationship Id="rId11" Type="http://schemas.openxmlformats.org/officeDocument/2006/relationships/hyperlink" Target="http://www.humanrights.gov.au/our-work/asylum-seekers-and-refugees/national-inquiry-children-immigration-detention-2014-1" TargetMode="External"/><Relationship Id="rId5" Type="http://schemas.openxmlformats.org/officeDocument/2006/relationships/hyperlink" Target="http://www.humanrights.gov.au/submissions/inquiry-incident-manus-island-detention-centre-16-february-18-february-2014" TargetMode="External"/><Relationship Id="rId10" Type="http://schemas.openxmlformats.org/officeDocument/2006/relationships/hyperlink" Target="http://tbinternet.ohchr.org/_layouts/treatybodyexternal/Download.aspx?symbolno=CAT%2fC%2fAUS%2fCO%2f4-5&amp;Lang=en" TargetMode="External"/><Relationship Id="rId4" Type="http://schemas.openxmlformats.org/officeDocument/2006/relationships/hyperlink" Target="http://www.humanrights.gov.au/our-work/rights-and-freedoms/publications/human-rights-issues-raised-third-country-processing-regime" TargetMode="External"/><Relationship Id="rId9" Type="http://schemas.openxmlformats.org/officeDocument/2006/relationships/hyperlink" Target="http://unhcr.org.au/unhcr/images/2013-11-26%20Report%20of%20UNHCR%20Visit%20to%20Nauru%20of%207-9%20October%202013.pdf" TargetMode="External"/><Relationship Id="rId14" Type="http://schemas.openxmlformats.org/officeDocument/2006/relationships/hyperlink" Target="http://www.austlii.edu.au/au/other/dfat/treaties/1991/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5598-4413-4FC4-B9CE-A97207EE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Prabha Nandagopal</dc:creator>
  <cp:lastModifiedBy>Sarah Dillon</cp:lastModifiedBy>
  <cp:revision>2</cp:revision>
  <cp:lastPrinted>2015-04-27T00:05:00Z</cp:lastPrinted>
  <dcterms:created xsi:type="dcterms:W3CDTF">2015-05-18T03:06:00Z</dcterms:created>
  <dcterms:modified xsi:type="dcterms:W3CDTF">2015-05-18T03:06:00Z</dcterms:modified>
</cp:coreProperties>
</file>