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2280" w14:textId="6E0B2640" w:rsidR="00E954D8" w:rsidRPr="002845B8" w:rsidRDefault="00FF6A24" w:rsidP="002845B8">
      <w:r>
        <w:rPr>
          <w:noProof/>
        </w:rPr>
        <w:drawing>
          <wp:anchor distT="0" distB="0" distL="114300" distR="114300" simplePos="0" relativeHeight="251660288" behindDoc="1" locked="0" layoutInCell="1" allowOverlap="1" wp14:anchorId="3CC757F7" wp14:editId="59E5C2B9">
            <wp:simplePos x="0" y="0"/>
            <wp:positionH relativeFrom="column">
              <wp:posOffset>-941328</wp:posOffset>
            </wp:positionH>
            <wp:positionV relativeFrom="paragraph">
              <wp:posOffset>-1583258</wp:posOffset>
            </wp:positionV>
            <wp:extent cx="7923135" cy="2873829"/>
            <wp:effectExtent l="0" t="0" r="1905" b="0"/>
            <wp:wrapNone/>
            <wp:docPr id="12" name="Immagine 12" descr="Page banner in teal with Age Discrimination icon in top left corner (two leaves in orange). On the right hand side the title reads: FACTSHEET Multigenerational workforces: the rights of older workers under the Age Discrimination Act 2004 (C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ultigenerational Workforce Factsheet 2019_Top_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3135" cy="2873829"/>
                    </a:xfrm>
                    <a:prstGeom prst="rect">
                      <a:avLst/>
                    </a:prstGeom>
                  </pic:spPr>
                </pic:pic>
              </a:graphicData>
            </a:graphic>
            <wp14:sizeRelH relativeFrom="margin">
              <wp14:pctWidth>0</wp14:pctWidth>
            </wp14:sizeRelH>
            <wp14:sizeRelV relativeFrom="margin">
              <wp14:pctHeight>0</wp14:pctHeight>
            </wp14:sizeRelV>
          </wp:anchor>
        </w:drawing>
      </w:r>
    </w:p>
    <w:p w14:paraId="0C1E3F0B" w14:textId="230CEFA2" w:rsidR="002845B8" w:rsidRPr="002845B8" w:rsidRDefault="002845B8" w:rsidP="002845B8"/>
    <w:p w14:paraId="6AFE71EB" w14:textId="77777777" w:rsidR="002845B8" w:rsidRPr="002845B8" w:rsidRDefault="002845B8" w:rsidP="002845B8"/>
    <w:p w14:paraId="4BBA2788" w14:textId="77777777" w:rsidR="002845B8" w:rsidRPr="002845B8" w:rsidRDefault="002845B8" w:rsidP="002845B8"/>
    <w:p w14:paraId="6259EAFF" w14:textId="6CA89503" w:rsidR="002845B8" w:rsidRPr="002845B8" w:rsidRDefault="002845B8" w:rsidP="002845B8"/>
    <w:p w14:paraId="6735900B" w14:textId="77777777" w:rsidR="002845B8" w:rsidRPr="002845B8" w:rsidRDefault="002845B8" w:rsidP="002845B8"/>
    <w:p w14:paraId="43C0F4B5" w14:textId="3F8B6978" w:rsidR="002F00F8" w:rsidRPr="00B75349" w:rsidRDefault="00BB6E44" w:rsidP="002F00F8">
      <w:pPr>
        <w:rPr>
          <w:rFonts w:cs="Open Sans"/>
          <w:b/>
          <w:color w:val="7F7F7F" w:themeColor="text1" w:themeTint="80"/>
          <w:sz w:val="36"/>
          <w:szCs w:val="36"/>
        </w:rPr>
      </w:pPr>
      <w:r w:rsidRPr="00B75349">
        <w:rPr>
          <w:rFonts w:cs="Open Sans"/>
          <w:b/>
          <w:color w:val="7F7F7F" w:themeColor="text1" w:themeTint="80"/>
          <w:sz w:val="36"/>
          <w:szCs w:val="36"/>
        </w:rPr>
        <w:t>FACTSHEET</w:t>
      </w:r>
    </w:p>
    <w:p w14:paraId="4AF65E8B" w14:textId="5C789919" w:rsidR="001B120D" w:rsidRPr="00B75349" w:rsidRDefault="001B120D" w:rsidP="002F00F8">
      <w:pPr>
        <w:spacing w:after="600"/>
        <w:rPr>
          <w:rFonts w:cs="Open Sans"/>
          <w:b/>
          <w:color w:val="7F7F7F" w:themeColor="text1" w:themeTint="80"/>
          <w:sz w:val="32"/>
          <w:szCs w:val="32"/>
        </w:rPr>
      </w:pPr>
      <w:r w:rsidRPr="00B75349">
        <w:rPr>
          <w:rFonts w:cs="Open Sans"/>
          <w:b/>
          <w:color w:val="7F7F7F" w:themeColor="text1" w:themeTint="80"/>
          <w:sz w:val="32"/>
          <w:szCs w:val="32"/>
        </w:rPr>
        <w:t>Multigenerational workforces</w:t>
      </w:r>
      <w:r w:rsidR="004A38D6" w:rsidRPr="00B75349">
        <w:rPr>
          <w:rFonts w:cs="Open Sans"/>
          <w:b/>
          <w:color w:val="7F7F7F" w:themeColor="text1" w:themeTint="80"/>
          <w:sz w:val="32"/>
          <w:szCs w:val="32"/>
        </w:rPr>
        <w:t xml:space="preserve">: </w:t>
      </w:r>
      <w:bookmarkStart w:id="0" w:name="_Toc209316062"/>
      <w:bookmarkEnd w:id="0"/>
      <w:r w:rsidR="0092456C" w:rsidRPr="00B75349">
        <w:rPr>
          <w:rFonts w:cs="Open Sans"/>
          <w:b/>
          <w:color w:val="7F7F7F" w:themeColor="text1" w:themeTint="80"/>
          <w:sz w:val="32"/>
          <w:szCs w:val="32"/>
        </w:rPr>
        <w:t>t</w:t>
      </w:r>
      <w:r w:rsidR="00837EBF" w:rsidRPr="00B75349">
        <w:rPr>
          <w:rFonts w:cs="Open Sans"/>
          <w:b/>
          <w:color w:val="7F7F7F" w:themeColor="text1" w:themeTint="80"/>
          <w:sz w:val="32"/>
          <w:szCs w:val="32"/>
        </w:rPr>
        <w:t xml:space="preserve">he rights of older workers under the </w:t>
      </w:r>
      <w:r w:rsidR="00837EBF" w:rsidRPr="00B75349">
        <w:rPr>
          <w:rFonts w:cs="Open Sans"/>
          <w:b/>
          <w:i/>
          <w:color w:val="7F7F7F" w:themeColor="text1" w:themeTint="80"/>
          <w:sz w:val="32"/>
          <w:szCs w:val="32"/>
        </w:rPr>
        <w:t>Age Discrimination Act 2004</w:t>
      </w:r>
      <w:r w:rsidR="00837EBF" w:rsidRPr="00B75349">
        <w:rPr>
          <w:rFonts w:cs="Open Sans"/>
          <w:b/>
          <w:color w:val="7F7F7F" w:themeColor="text1" w:themeTint="80"/>
          <w:sz w:val="32"/>
          <w:szCs w:val="32"/>
        </w:rPr>
        <w:t xml:space="preserve"> (</w:t>
      </w:r>
      <w:proofErr w:type="spellStart"/>
      <w:r w:rsidR="00837EBF" w:rsidRPr="00B75349">
        <w:rPr>
          <w:rFonts w:cs="Open Sans"/>
          <w:b/>
          <w:color w:val="7F7F7F" w:themeColor="text1" w:themeTint="80"/>
          <w:sz w:val="32"/>
          <w:szCs w:val="32"/>
        </w:rPr>
        <w:t>Cth</w:t>
      </w:r>
      <w:proofErr w:type="spellEnd"/>
      <w:r w:rsidR="00837EBF" w:rsidRPr="00B75349">
        <w:rPr>
          <w:rFonts w:cs="Open Sans"/>
          <w:b/>
          <w:color w:val="7F7F7F" w:themeColor="text1" w:themeTint="80"/>
          <w:sz w:val="32"/>
          <w:szCs w:val="32"/>
        </w:rPr>
        <w:t>)</w:t>
      </w:r>
    </w:p>
    <w:p w14:paraId="04B642EA" w14:textId="10A9CEAC" w:rsidR="00CC4557" w:rsidRPr="000F280F" w:rsidRDefault="00CC4557" w:rsidP="00CC4557">
      <w:pPr>
        <w:spacing w:before="0"/>
        <w:rPr>
          <w:rFonts w:cs="Open Sans"/>
        </w:rPr>
      </w:pPr>
      <w:r w:rsidRPr="000F280F">
        <w:rPr>
          <w:rFonts w:cs="Open Sans"/>
        </w:rPr>
        <w:t>Australians are increasingly working to older ages</w:t>
      </w:r>
      <w:r>
        <w:rPr>
          <w:rFonts w:cs="Open Sans"/>
        </w:rPr>
        <w:t>, with</w:t>
      </w:r>
      <w:r w:rsidRPr="000F280F">
        <w:rPr>
          <w:rFonts w:cs="Open Sans"/>
        </w:rPr>
        <w:t xml:space="preserve"> five generations</w:t>
      </w:r>
      <w:r>
        <w:rPr>
          <w:rFonts w:cs="Open Sans"/>
        </w:rPr>
        <w:t xml:space="preserve"> now</w:t>
      </w:r>
      <w:r w:rsidRPr="000F280F">
        <w:rPr>
          <w:rFonts w:cs="Open Sans"/>
        </w:rPr>
        <w:t xml:space="preserve"> working side by side. </w:t>
      </w:r>
    </w:p>
    <w:p w14:paraId="2AC04E2E" w14:textId="5105ADAC" w:rsidR="00837EBF" w:rsidRDefault="00CC4557" w:rsidP="000F280F">
      <w:pPr>
        <w:spacing w:before="0"/>
        <w:rPr>
          <w:rFonts w:cs="Open Sans"/>
        </w:rPr>
      </w:pPr>
      <w:r w:rsidRPr="000F280F">
        <w:rPr>
          <w:rFonts w:cs="Open Sans"/>
        </w:rPr>
        <w:t>While older workers bring</w:t>
      </w:r>
      <w:r w:rsidR="006C3FE2">
        <w:rPr>
          <w:rFonts w:cs="Open Sans"/>
        </w:rPr>
        <w:t xml:space="preserve"> valuable skills and knowledge to the workplace</w:t>
      </w:r>
      <w:r w:rsidRPr="000F280F">
        <w:rPr>
          <w:rFonts w:cs="Open Sans"/>
        </w:rPr>
        <w:t>, age discrimination still presents a significant barrier</w:t>
      </w:r>
      <w:r w:rsidR="006C3FE2">
        <w:rPr>
          <w:rFonts w:cs="Open Sans"/>
        </w:rPr>
        <w:t xml:space="preserve"> to meaningful participation in the workforce</w:t>
      </w:r>
      <w:r w:rsidRPr="000F280F">
        <w:rPr>
          <w:rFonts w:cs="Open Sans"/>
        </w:rPr>
        <w:t xml:space="preserve">. </w:t>
      </w:r>
    </w:p>
    <w:p w14:paraId="1DC82E3A" w14:textId="1BD8C01A" w:rsidR="00767786" w:rsidRDefault="00D317CD" w:rsidP="002F00F8">
      <w:pPr>
        <w:spacing w:before="0" w:after="360"/>
        <w:rPr>
          <w:rFonts w:cs="Open Sans"/>
        </w:rPr>
      </w:pPr>
      <w:r>
        <w:rPr>
          <w:rFonts w:cs="Open Sans"/>
        </w:rPr>
        <w:t xml:space="preserve">This </w:t>
      </w:r>
      <w:r w:rsidR="00F27E3C">
        <w:rPr>
          <w:rFonts w:cs="Open Sans"/>
        </w:rPr>
        <w:t>f</w:t>
      </w:r>
      <w:r>
        <w:rPr>
          <w:rFonts w:cs="Open Sans"/>
        </w:rPr>
        <w:t xml:space="preserve">actsheet provides information on the core provisions of the </w:t>
      </w:r>
      <w:hyperlink r:id="rId9" w:history="1">
        <w:r w:rsidRPr="001F7E77">
          <w:rPr>
            <w:rStyle w:val="Collegamentoipertestuale"/>
            <w:rFonts w:cs="Open Sans"/>
            <w:i/>
          </w:rPr>
          <w:t>Age Discrimination Act 2004</w:t>
        </w:r>
      </w:hyperlink>
      <w:r>
        <w:rPr>
          <w:rFonts w:cs="Open Sans"/>
          <w:i/>
        </w:rPr>
        <w:t xml:space="preserve"> </w:t>
      </w:r>
      <w:r>
        <w:rPr>
          <w:rFonts w:cs="Open Sans"/>
        </w:rPr>
        <w:t>(</w:t>
      </w:r>
      <w:proofErr w:type="spellStart"/>
      <w:r>
        <w:rPr>
          <w:rFonts w:cs="Open Sans"/>
        </w:rPr>
        <w:t>Cth</w:t>
      </w:r>
      <w:proofErr w:type="spellEnd"/>
      <w:r>
        <w:rPr>
          <w:rFonts w:cs="Open Sans"/>
        </w:rPr>
        <w:t>) (the Act) as they relate to discrimination against older workers.</w:t>
      </w:r>
    </w:p>
    <w:p w14:paraId="7461B776" w14:textId="117BA99D" w:rsidR="002845B8" w:rsidRDefault="002845B8">
      <w:pPr>
        <w:spacing w:before="0" w:after="160" w:line="259" w:lineRule="auto"/>
        <w:rPr>
          <w:rFonts w:cs="Open Sans"/>
        </w:rPr>
      </w:pPr>
      <w:bookmarkStart w:id="1" w:name="_GoBack"/>
      <w:bookmarkEnd w:id="1"/>
    </w:p>
    <w:p w14:paraId="654E6309" w14:textId="5026B5C4" w:rsidR="002845B8" w:rsidRDefault="00740139">
      <w:pPr>
        <w:spacing w:before="0" w:after="160" w:line="259" w:lineRule="auto"/>
        <w:rPr>
          <w:rFonts w:cs="Open Sans"/>
        </w:rPr>
      </w:pPr>
      <w:r>
        <w:rPr>
          <w:rFonts w:cs="Open Sans"/>
          <w:noProof/>
        </w:rPr>
        <w:drawing>
          <wp:anchor distT="0" distB="0" distL="114300" distR="114300" simplePos="0" relativeHeight="251661312" behindDoc="1" locked="0" layoutInCell="1" allowOverlap="1" wp14:anchorId="2FD23388" wp14:editId="777C4846">
            <wp:simplePos x="0" y="0"/>
            <wp:positionH relativeFrom="column">
              <wp:posOffset>-901765</wp:posOffset>
            </wp:positionH>
            <wp:positionV relativeFrom="paragraph">
              <wp:posOffset>144766</wp:posOffset>
            </wp:positionV>
            <wp:extent cx="7761445" cy="2130251"/>
            <wp:effectExtent l="0" t="0" r="0" b="3810"/>
            <wp:wrapNone/>
            <wp:docPr id="13" name="Immagine 13" descr="Bottom page banner: Curve in teal with Australian Human Rights Commission logo all in white. Beside it is the NSW Government funding statement. The words 'Proudly funded by' appear above the NSW Government logo and both the words and logo are all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ultigenerational Workforce Factsheet 2019_Bottom_Ban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1445" cy="2130251"/>
                    </a:xfrm>
                    <a:prstGeom prst="rect">
                      <a:avLst/>
                    </a:prstGeom>
                  </pic:spPr>
                </pic:pic>
              </a:graphicData>
            </a:graphic>
            <wp14:sizeRelH relativeFrom="margin">
              <wp14:pctWidth>0</wp14:pctWidth>
            </wp14:sizeRelH>
            <wp14:sizeRelV relativeFrom="margin">
              <wp14:pctHeight>0</wp14:pctHeight>
            </wp14:sizeRelV>
          </wp:anchor>
        </w:drawing>
      </w:r>
      <w:r w:rsidR="002845B8">
        <w:rPr>
          <w:rFonts w:cs="Open Sans"/>
        </w:rPr>
        <w:br w:type="page"/>
      </w:r>
    </w:p>
    <w:p w14:paraId="53347169" w14:textId="77777777" w:rsidR="002845B8" w:rsidRDefault="002845B8" w:rsidP="002F00F8">
      <w:pPr>
        <w:spacing w:before="0" w:after="360"/>
        <w:rPr>
          <w:rFonts w:cs="Open Sans"/>
        </w:rPr>
      </w:pPr>
    </w:p>
    <w:tbl>
      <w:tblPr>
        <w:tblStyle w:val="Grigliatabella"/>
        <w:tblW w:w="0" w:type="auto"/>
        <w:tblInd w:w="0" w:type="dxa"/>
        <w:tblBorders>
          <w:insideH w:val="none" w:sz="0" w:space="0" w:color="auto"/>
          <w:insideV w:val="none" w:sz="0" w:space="0" w:color="auto"/>
        </w:tblBorders>
        <w:shd w:val="clear" w:color="auto" w:fill="E7E6E6" w:themeFill="background2"/>
        <w:tblCellMar>
          <w:top w:w="284" w:type="dxa"/>
          <w:left w:w="284" w:type="dxa"/>
          <w:right w:w="284" w:type="dxa"/>
        </w:tblCellMar>
        <w:tblLook w:val="04A0" w:firstRow="1" w:lastRow="0" w:firstColumn="1" w:lastColumn="0" w:noHBand="0" w:noVBand="1"/>
      </w:tblPr>
      <w:tblGrid>
        <w:gridCol w:w="1701"/>
        <w:gridCol w:w="7649"/>
      </w:tblGrid>
      <w:tr w:rsidR="00B244E7" w14:paraId="678AE665" w14:textId="77777777" w:rsidTr="005E574C">
        <w:trPr>
          <w:trHeight w:val="1445"/>
        </w:trPr>
        <w:tc>
          <w:tcPr>
            <w:tcW w:w="1696" w:type="dxa"/>
            <w:shd w:val="clear" w:color="auto" w:fill="E7E6E6" w:themeFill="background2"/>
          </w:tcPr>
          <w:p w14:paraId="04A91B6C" w14:textId="338DE20B" w:rsidR="00B244E7" w:rsidRDefault="00B244E7" w:rsidP="006C3FE2">
            <w:pPr>
              <w:rPr>
                <w:rFonts w:cs="Open Sans"/>
              </w:rPr>
            </w:pPr>
            <w:r>
              <w:rPr>
                <w:noProof/>
              </w:rPr>
              <w:drawing>
                <wp:inline distT="0" distB="0" distL="0" distR="0" wp14:anchorId="5D8D47E0" wp14:editId="4D1D2C92">
                  <wp:extent cx="720000" cy="720000"/>
                  <wp:effectExtent l="0" t="0" r="0" b="0"/>
                  <wp:docPr id="1" name="Graphic 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0000" cy="720000"/>
                          </a:xfrm>
                          <a:prstGeom prst="rect">
                            <a:avLst/>
                          </a:prstGeom>
                        </pic:spPr>
                      </pic:pic>
                    </a:graphicData>
                  </a:graphic>
                </wp:inline>
              </w:drawing>
            </w:r>
          </w:p>
        </w:tc>
        <w:tc>
          <w:tcPr>
            <w:tcW w:w="7654" w:type="dxa"/>
            <w:shd w:val="clear" w:color="auto" w:fill="E7E6E6" w:themeFill="background2"/>
          </w:tcPr>
          <w:p w14:paraId="292A98B3" w14:textId="27D6337E" w:rsidR="002A6EEB" w:rsidRPr="001E07AD" w:rsidRDefault="002A6EEB" w:rsidP="00CA01B5">
            <w:pPr>
              <w:spacing w:after="120"/>
              <w:rPr>
                <w:rFonts w:cs="Open Sans"/>
                <w:b/>
              </w:rPr>
            </w:pPr>
            <w:r>
              <w:rPr>
                <w:rFonts w:cs="Open Sans"/>
                <w:b/>
              </w:rPr>
              <w:t>Work relationships</w:t>
            </w:r>
          </w:p>
          <w:p w14:paraId="668DC351" w14:textId="5903E9DD" w:rsidR="00B244E7" w:rsidRPr="001F7E77" w:rsidRDefault="00B244E7" w:rsidP="00CA01B5">
            <w:pPr>
              <w:spacing w:before="0" w:after="0"/>
              <w:rPr>
                <w:rFonts w:cs="Open Sans"/>
              </w:rPr>
            </w:pPr>
            <w:r w:rsidRPr="001E07AD">
              <w:rPr>
                <w:rFonts w:cs="Open Sans"/>
              </w:rPr>
              <w:t xml:space="preserve">The Act covers a broad range of </w:t>
            </w:r>
            <w:r w:rsidR="002A6EEB">
              <w:rPr>
                <w:rFonts w:cs="Open Sans"/>
              </w:rPr>
              <w:t>‘</w:t>
            </w:r>
            <w:r w:rsidRPr="001E07AD">
              <w:rPr>
                <w:rFonts w:cs="Open Sans"/>
              </w:rPr>
              <w:t xml:space="preserve">work </w:t>
            </w:r>
            <w:r w:rsidR="0092456C">
              <w:rPr>
                <w:rFonts w:cs="Open Sans"/>
              </w:rPr>
              <w:t>relationships</w:t>
            </w:r>
            <w:r w:rsidR="002A6EEB">
              <w:rPr>
                <w:rFonts w:cs="Open Sans"/>
              </w:rPr>
              <w:t>’</w:t>
            </w:r>
            <w:r w:rsidR="0044249B">
              <w:rPr>
                <w:rFonts w:cs="Open Sans"/>
              </w:rPr>
              <w:t xml:space="preserve">, and prospective work </w:t>
            </w:r>
            <w:r w:rsidR="002A6EEB">
              <w:rPr>
                <w:rFonts w:cs="Open Sans"/>
              </w:rPr>
              <w:t>relationships</w:t>
            </w:r>
            <w:r w:rsidR="0044249B">
              <w:rPr>
                <w:rFonts w:cs="Open Sans"/>
              </w:rPr>
              <w:t xml:space="preserve"> (for example, when a person has applied for a role and is moving through the recruitment process)</w:t>
            </w:r>
            <w:r w:rsidRPr="001E07AD">
              <w:rPr>
                <w:rFonts w:cs="Open Sans"/>
              </w:rPr>
              <w:t>.</w:t>
            </w:r>
          </w:p>
        </w:tc>
      </w:tr>
      <w:tr w:rsidR="00CA01B5" w14:paraId="32529864" w14:textId="77777777" w:rsidTr="005E574C">
        <w:trPr>
          <w:trHeight w:val="7526"/>
        </w:trPr>
        <w:tc>
          <w:tcPr>
            <w:tcW w:w="9350" w:type="dxa"/>
            <w:gridSpan w:val="2"/>
            <w:shd w:val="clear" w:color="auto" w:fill="E7E6E6" w:themeFill="background2"/>
          </w:tcPr>
          <w:p w14:paraId="062FAFEF" w14:textId="77777777" w:rsidR="00CA01B5" w:rsidRPr="001E07AD" w:rsidRDefault="00CA01B5" w:rsidP="00CA01B5">
            <w:pPr>
              <w:spacing w:before="0"/>
              <w:rPr>
                <w:rFonts w:cs="Open Sans"/>
              </w:rPr>
            </w:pPr>
            <w:r>
              <w:rPr>
                <w:rFonts w:cs="Open Sans"/>
              </w:rPr>
              <w:t>Work relationships may, f</w:t>
            </w:r>
            <w:r w:rsidRPr="001E07AD">
              <w:rPr>
                <w:rFonts w:cs="Open Sans"/>
              </w:rPr>
              <w:t>or example</w:t>
            </w:r>
            <w:r>
              <w:rPr>
                <w:rFonts w:cs="Open Sans"/>
              </w:rPr>
              <w:t>, be</w:t>
            </w:r>
            <w:r w:rsidRPr="001E07AD">
              <w:rPr>
                <w:rFonts w:cs="Open Sans"/>
              </w:rPr>
              <w:t xml:space="preserve"> </w:t>
            </w:r>
            <w:hyperlink r:id="rId13" w:history="1">
              <w:r w:rsidRPr="001E07AD">
                <w:rPr>
                  <w:rStyle w:val="Collegamentoipertestuale"/>
                  <w:rFonts w:cs="Open Sans"/>
                </w:rPr>
                <w:t>employee</w:t>
              </w:r>
              <w:r w:rsidRPr="002A6EEB">
                <w:rPr>
                  <w:rStyle w:val="Collegamentoipertestuale"/>
                  <w:rFonts w:cs="Open Sans"/>
                </w:rPr>
                <w:t xml:space="preserve"> and employer</w:t>
              </w:r>
            </w:hyperlink>
            <w:r w:rsidRPr="0044249B">
              <w:rPr>
                <w:rFonts w:cs="Open Sans"/>
              </w:rPr>
              <w:t xml:space="preserve">; </w:t>
            </w:r>
            <w:hyperlink r:id="rId14" w:history="1">
              <w:r w:rsidRPr="001E07AD">
                <w:rPr>
                  <w:rStyle w:val="Collegamentoipertestuale"/>
                  <w:rFonts w:cs="Open Sans"/>
                </w:rPr>
                <w:t>partner</w:t>
              </w:r>
              <w:r w:rsidRPr="002A6EEB">
                <w:rPr>
                  <w:rStyle w:val="Collegamentoipertestuale"/>
                  <w:rFonts w:cs="Open Sans"/>
                </w:rPr>
                <w:t xml:space="preserve"> and partners</w:t>
              </w:r>
            </w:hyperlink>
            <w:r w:rsidRPr="0044249B">
              <w:rPr>
                <w:rFonts w:cs="Open Sans"/>
              </w:rPr>
              <w:t>;</w:t>
            </w:r>
            <w:r w:rsidRPr="001E07AD">
              <w:rPr>
                <w:rFonts w:cs="Open Sans"/>
              </w:rPr>
              <w:t xml:space="preserve"> </w:t>
            </w:r>
            <w:hyperlink r:id="rId15" w:history="1">
              <w:r w:rsidRPr="001E07AD">
                <w:rPr>
                  <w:rStyle w:val="Collegamentoipertestuale"/>
                  <w:rFonts w:cs="Open Sans"/>
                </w:rPr>
                <w:t>commission agent</w:t>
              </w:r>
              <w:r w:rsidRPr="002A6EEB">
                <w:rPr>
                  <w:rStyle w:val="Collegamentoipertestuale"/>
                  <w:rFonts w:cs="Open Sans"/>
                </w:rPr>
                <w:t xml:space="preserve"> and principal</w:t>
              </w:r>
            </w:hyperlink>
            <w:r w:rsidRPr="0044249B">
              <w:rPr>
                <w:rFonts w:cs="Open Sans"/>
              </w:rPr>
              <w:t>;</w:t>
            </w:r>
            <w:r w:rsidRPr="001E07AD">
              <w:rPr>
                <w:rFonts w:cs="Open Sans"/>
              </w:rPr>
              <w:t xml:space="preserve">  </w:t>
            </w:r>
            <w:hyperlink r:id="rId16" w:history="1">
              <w:r w:rsidRPr="001E07AD">
                <w:rPr>
                  <w:rStyle w:val="Collegamentoipertestuale"/>
                  <w:rFonts w:cs="Open Sans"/>
                </w:rPr>
                <w:t>contract worker</w:t>
              </w:r>
              <w:r w:rsidRPr="002A6EEB">
                <w:rPr>
                  <w:rStyle w:val="Collegamentoipertestuale"/>
                  <w:rFonts w:cs="Open Sans"/>
                </w:rPr>
                <w:t xml:space="preserve"> and principal</w:t>
              </w:r>
            </w:hyperlink>
            <w:r w:rsidRPr="0044249B">
              <w:rPr>
                <w:rFonts w:cs="Open Sans"/>
              </w:rPr>
              <w:t>;</w:t>
            </w:r>
            <w:r w:rsidRPr="001E07AD">
              <w:rPr>
                <w:rFonts w:cs="Open Sans"/>
              </w:rPr>
              <w:t xml:space="preserve"> or an </w:t>
            </w:r>
            <w:hyperlink r:id="rId17" w:history="1">
              <w:r w:rsidRPr="001E07AD">
                <w:rPr>
                  <w:rStyle w:val="Collegamentoipertestuale"/>
                  <w:rFonts w:cs="Open Sans"/>
                </w:rPr>
                <w:t>employment agency</w:t>
              </w:r>
              <w:r w:rsidRPr="002A6EEB">
                <w:rPr>
                  <w:rStyle w:val="Collegamentoipertestuale"/>
                  <w:rFonts w:cs="Open Sans"/>
                </w:rPr>
                <w:t>, employer and employee</w:t>
              </w:r>
            </w:hyperlink>
            <w:r>
              <w:rPr>
                <w:rStyle w:val="Collegamentoipertestuale"/>
                <w:rFonts w:cs="Open Sans"/>
              </w:rPr>
              <w:t>/worker</w:t>
            </w:r>
            <w:r w:rsidRPr="001E07AD">
              <w:rPr>
                <w:rFonts w:cs="Open Sans"/>
              </w:rPr>
              <w:t>.</w:t>
            </w:r>
          </w:p>
          <w:p w14:paraId="6E7D25D5" w14:textId="77777777" w:rsidR="00CA01B5" w:rsidRPr="001E07AD" w:rsidRDefault="00CA01B5" w:rsidP="00CA01B5">
            <w:pPr>
              <w:spacing w:after="120"/>
              <w:rPr>
                <w:rFonts w:cs="Open Sans"/>
                <w:b/>
              </w:rPr>
            </w:pPr>
            <w:r>
              <w:rPr>
                <w:rFonts w:cs="Open Sans"/>
                <w:b/>
              </w:rPr>
              <w:t>Work</w:t>
            </w:r>
          </w:p>
          <w:p w14:paraId="52215D8E" w14:textId="77777777" w:rsidR="00CA01B5" w:rsidRPr="001E07AD" w:rsidRDefault="00CA01B5" w:rsidP="00CA01B5">
            <w:pPr>
              <w:spacing w:before="0"/>
              <w:rPr>
                <w:rFonts w:cs="Open Sans"/>
              </w:rPr>
            </w:pPr>
            <w:r w:rsidRPr="001E07AD">
              <w:rPr>
                <w:rFonts w:cs="Open Sans"/>
              </w:rPr>
              <w:t xml:space="preserve">‘Work’ is not defined in the Act. It is used in this </w:t>
            </w:r>
            <w:r>
              <w:rPr>
                <w:rFonts w:cs="Open Sans"/>
              </w:rPr>
              <w:t>factsheet</w:t>
            </w:r>
            <w:r w:rsidRPr="001E07AD">
              <w:rPr>
                <w:rFonts w:cs="Open Sans"/>
              </w:rPr>
              <w:t xml:space="preserve"> to refer to activities undertaken in the context of the </w:t>
            </w:r>
            <w:r>
              <w:rPr>
                <w:rFonts w:cs="Open Sans"/>
              </w:rPr>
              <w:t xml:space="preserve">relationships </w:t>
            </w:r>
            <w:r w:rsidRPr="001E07AD">
              <w:rPr>
                <w:rFonts w:cs="Open Sans"/>
              </w:rPr>
              <w:t xml:space="preserve">outlined above. Examples of work include the activities </w:t>
            </w:r>
            <w:r>
              <w:rPr>
                <w:rFonts w:cs="Open Sans"/>
              </w:rPr>
              <w:t>of</w:t>
            </w:r>
            <w:r w:rsidRPr="001E07AD">
              <w:rPr>
                <w:rFonts w:cs="Open Sans"/>
              </w:rPr>
              <w:t xml:space="preserve"> a partner in an accounting firm or a barista employed in a café.</w:t>
            </w:r>
          </w:p>
          <w:p w14:paraId="650EF01E" w14:textId="77777777" w:rsidR="00CA01B5" w:rsidRPr="001E07AD" w:rsidRDefault="00CA01B5" w:rsidP="00CA01B5">
            <w:pPr>
              <w:spacing w:after="120"/>
              <w:rPr>
                <w:rFonts w:cs="Open Sans"/>
                <w:b/>
              </w:rPr>
            </w:pPr>
            <w:r>
              <w:rPr>
                <w:rFonts w:cs="Open Sans"/>
                <w:b/>
              </w:rPr>
              <w:t>Work provider</w:t>
            </w:r>
          </w:p>
          <w:p w14:paraId="091E9F72" w14:textId="6635FC05" w:rsidR="00CA01B5" w:rsidRPr="001E07AD" w:rsidRDefault="00CA01B5" w:rsidP="00CA01B5">
            <w:pPr>
              <w:spacing w:before="0"/>
              <w:rPr>
                <w:rFonts w:cs="Open Sans"/>
              </w:rPr>
            </w:pPr>
            <w:r w:rsidRPr="001E07AD">
              <w:rPr>
                <w:rFonts w:cs="Open Sans"/>
              </w:rPr>
              <w:t>The term ‘work provider’</w:t>
            </w:r>
            <w:r>
              <w:rPr>
                <w:rFonts w:cs="Open Sans"/>
              </w:rPr>
              <w:t xml:space="preserve"> is not used in the Act. It is a collective term used in this factsheet to</w:t>
            </w:r>
            <w:r w:rsidRPr="001E07AD">
              <w:rPr>
                <w:rFonts w:cs="Open Sans"/>
              </w:rPr>
              <w:t xml:space="preserve"> refer to all parties who engage another person to do work or partner with them in a partnership</w:t>
            </w:r>
            <w:r>
              <w:rPr>
                <w:rFonts w:cs="Open Sans"/>
              </w:rPr>
              <w:t>, w</w:t>
            </w:r>
            <w:r w:rsidRPr="001E07AD">
              <w:rPr>
                <w:rFonts w:cs="Open Sans"/>
              </w:rPr>
              <w:t>hether as an employer, fellow partner, principal (in the context of a commission agent or contract worker) or employment agency.</w:t>
            </w:r>
          </w:p>
          <w:p w14:paraId="76D78525" w14:textId="5DA22519" w:rsidR="00CA01B5" w:rsidRDefault="00CA01B5" w:rsidP="00CA01B5">
            <w:pPr>
              <w:spacing w:after="120"/>
              <w:rPr>
                <w:rFonts w:cs="Open Sans"/>
              </w:rPr>
            </w:pPr>
            <w:r>
              <w:rPr>
                <w:rFonts w:cs="Open Sans"/>
                <w:b/>
              </w:rPr>
              <w:t>Workplace</w:t>
            </w:r>
          </w:p>
          <w:p w14:paraId="49A3F749" w14:textId="451BC724" w:rsidR="00CA01B5" w:rsidRDefault="00CA01B5" w:rsidP="005E574C">
            <w:pPr>
              <w:spacing w:before="0" w:after="360"/>
              <w:rPr>
                <w:rFonts w:cs="Open Sans"/>
                <w:b/>
              </w:rPr>
            </w:pPr>
            <w:r w:rsidRPr="001E07AD">
              <w:rPr>
                <w:rFonts w:cs="Open Sans"/>
              </w:rPr>
              <w:t xml:space="preserve">‘Workplace’ is not defined in the Act but is used in </w:t>
            </w:r>
            <w:r w:rsidRPr="005E6819">
              <w:rPr>
                <w:rFonts w:cs="Open Sans"/>
              </w:rPr>
              <w:t>this factsheet</w:t>
            </w:r>
            <w:r>
              <w:rPr>
                <w:rFonts w:cs="Open Sans"/>
              </w:rPr>
              <w:t xml:space="preserve"> </w:t>
            </w:r>
            <w:r w:rsidRPr="001E07AD">
              <w:rPr>
                <w:rFonts w:cs="Open Sans"/>
              </w:rPr>
              <w:t xml:space="preserve">as a collective term to refer to all of the places and contexts in which work is conducted. Examples of workplaces include an office, factory, </w:t>
            </w:r>
            <w:r>
              <w:rPr>
                <w:rFonts w:cs="Open Sans"/>
              </w:rPr>
              <w:t xml:space="preserve">or </w:t>
            </w:r>
            <w:r w:rsidRPr="001E07AD">
              <w:rPr>
                <w:rFonts w:cs="Open Sans"/>
              </w:rPr>
              <w:t>shop</w:t>
            </w:r>
            <w:r>
              <w:rPr>
                <w:rFonts w:cs="Open Sans"/>
              </w:rPr>
              <w:t>.</w:t>
            </w:r>
          </w:p>
        </w:tc>
      </w:tr>
    </w:tbl>
    <w:p w14:paraId="015155D2" w14:textId="77777777" w:rsidR="00CA01B5" w:rsidRDefault="00CA01B5">
      <w:pPr>
        <w:spacing w:before="0" w:after="160" w:line="259" w:lineRule="auto"/>
      </w:pPr>
    </w:p>
    <w:p w14:paraId="1660FF8E" w14:textId="658D85C2" w:rsidR="002845B8" w:rsidRDefault="002845B8">
      <w:pPr>
        <w:spacing w:before="0" w:after="160" w:line="259" w:lineRule="auto"/>
      </w:pPr>
      <w:r>
        <w:br w:type="page"/>
      </w:r>
    </w:p>
    <w:p w14:paraId="01B7063A" w14:textId="1DEFA396" w:rsidR="00863500" w:rsidRPr="001E07AD" w:rsidRDefault="004D5CD7" w:rsidP="00215EC1">
      <w:pPr>
        <w:pStyle w:val="Titolo1"/>
      </w:pPr>
      <w:r w:rsidRPr="001E07AD">
        <w:lastRenderedPageBreak/>
        <w:t>What is age discrimination?</w:t>
      </w:r>
    </w:p>
    <w:p w14:paraId="446B3221" w14:textId="1971FBD8" w:rsidR="00A9370E" w:rsidRDefault="00CD705B" w:rsidP="000F280F">
      <w:pPr>
        <w:tabs>
          <w:tab w:val="left" w:pos="5025"/>
        </w:tabs>
      </w:pPr>
      <w:r>
        <w:t>Age d</w:t>
      </w:r>
      <w:r w:rsidR="00A9370E" w:rsidRPr="000F280F">
        <w:t xml:space="preserve">iscrimination can be </w:t>
      </w:r>
      <w:hyperlink r:id="rId18" w:history="1">
        <w:r w:rsidR="00A9370E" w:rsidRPr="00171DB2">
          <w:rPr>
            <w:rStyle w:val="Collegamentoipertestuale"/>
          </w:rPr>
          <w:t>direct</w:t>
        </w:r>
      </w:hyperlink>
      <w:r w:rsidR="00A9370E" w:rsidRPr="000F280F">
        <w:t xml:space="preserve"> or </w:t>
      </w:r>
      <w:hyperlink r:id="rId19" w:history="1">
        <w:r w:rsidR="00A9370E" w:rsidRPr="00171DB2">
          <w:rPr>
            <w:rStyle w:val="Collegamentoipertestuale"/>
          </w:rPr>
          <w:t>indirect</w:t>
        </w:r>
      </w:hyperlink>
      <w:r w:rsidR="00A9370E" w:rsidRPr="000F280F">
        <w:t>.</w:t>
      </w:r>
    </w:p>
    <w:p w14:paraId="5449F6A0" w14:textId="2146F0B6" w:rsidR="000D4EF8" w:rsidRPr="002400D0" w:rsidRDefault="00E41D3A" w:rsidP="00E954D8">
      <w:pPr>
        <w:tabs>
          <w:tab w:val="left" w:pos="5025"/>
        </w:tabs>
        <w:spacing w:after="360"/>
        <w:rPr>
          <w:rFonts w:cs="Open Sans"/>
        </w:rPr>
      </w:pPr>
      <w:r w:rsidRPr="000F280F">
        <w:rPr>
          <w:rFonts w:cs="Open Sans"/>
          <w:b/>
        </w:rPr>
        <w:t>Direct discrimination</w:t>
      </w:r>
      <w:r w:rsidRPr="000F280F">
        <w:rPr>
          <w:rFonts w:cs="Open Sans"/>
        </w:rPr>
        <w:t xml:space="preserve"> occurs when a person is treated less favourably than another person because of their age, or a characteristic generally associated with a person of that age, in circumstances that are the same or not materially different</w:t>
      </w:r>
      <w:r>
        <w:rPr>
          <w:rFonts w:cs="Open Sans"/>
        </w:rPr>
        <w:t>.</w:t>
      </w:r>
    </w:p>
    <w:tbl>
      <w:tblPr>
        <w:tblStyle w:val="Grigliatabella"/>
        <w:tblW w:w="0" w:type="auto"/>
        <w:tblInd w:w="0" w:type="dxa"/>
        <w:shd w:val="clear" w:color="auto" w:fill="BDD6EE" w:themeFill="accent5" w:themeFillTint="66"/>
        <w:tblLook w:val="04A0" w:firstRow="1" w:lastRow="0" w:firstColumn="1" w:lastColumn="0" w:noHBand="0" w:noVBand="1"/>
      </w:tblPr>
      <w:tblGrid>
        <w:gridCol w:w="1349"/>
        <w:gridCol w:w="8001"/>
      </w:tblGrid>
      <w:tr w:rsidR="000D4EF8" w14:paraId="146C2751" w14:textId="77777777" w:rsidTr="002845B8">
        <w:trPr>
          <w:trHeight w:val="1601"/>
        </w:trPr>
        <w:tc>
          <w:tcPr>
            <w:tcW w:w="1056" w:type="dxa"/>
            <w:tcBorders>
              <w:right w:val="nil"/>
            </w:tcBorders>
            <w:shd w:val="clear" w:color="auto" w:fill="BDD6EE" w:themeFill="accent5" w:themeFillTint="66"/>
          </w:tcPr>
          <w:p w14:paraId="27ACD3CC" w14:textId="366FB7D0" w:rsidR="000D4EF8" w:rsidRDefault="000D4EF8" w:rsidP="00A9370E">
            <w:r>
              <w:rPr>
                <w:noProof/>
              </w:rPr>
              <w:drawing>
                <wp:inline distT="0" distB="0" distL="0" distR="0" wp14:anchorId="721E8466" wp14:editId="6C81FCE6">
                  <wp:extent cx="720000" cy="720000"/>
                  <wp:effectExtent l="0" t="0" r="0" b="0"/>
                  <wp:docPr id="5" name="Graphic 2"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0000" cy="720000"/>
                          </a:xfrm>
                          <a:prstGeom prst="rect">
                            <a:avLst/>
                          </a:prstGeom>
                        </pic:spPr>
                      </pic:pic>
                    </a:graphicData>
                  </a:graphic>
                </wp:inline>
              </w:drawing>
            </w:r>
          </w:p>
        </w:tc>
        <w:tc>
          <w:tcPr>
            <w:tcW w:w="8294" w:type="dxa"/>
            <w:tcBorders>
              <w:left w:val="nil"/>
            </w:tcBorders>
            <w:shd w:val="clear" w:color="auto" w:fill="BDD6EE" w:themeFill="accent5" w:themeFillTint="66"/>
          </w:tcPr>
          <w:p w14:paraId="2C45FF9E" w14:textId="0FA09768" w:rsidR="000D4EF8" w:rsidRPr="00D317CD" w:rsidRDefault="00837EBF" w:rsidP="0092456C">
            <w:r>
              <w:t xml:space="preserve">For example, </w:t>
            </w:r>
            <w:r w:rsidR="000D4EF8" w:rsidRPr="00D317CD">
              <w:t xml:space="preserve">if a person is selected for </w:t>
            </w:r>
            <w:r w:rsidR="00D317CD">
              <w:t xml:space="preserve">a </w:t>
            </w:r>
            <w:r w:rsidR="000D4EF8" w:rsidRPr="00D317CD">
              <w:t xml:space="preserve">redundancy simply because </w:t>
            </w:r>
            <w:r w:rsidR="00D317CD">
              <w:t>they are aged over 5</w:t>
            </w:r>
            <w:r w:rsidR="00930CCD">
              <w:t>5</w:t>
            </w:r>
            <w:r w:rsidR="005E6819">
              <w:t xml:space="preserve"> this is likely to amount to direct discrimination on the basis of age</w:t>
            </w:r>
            <w:r w:rsidR="000D4EF8" w:rsidRPr="00D317CD">
              <w:t>.</w:t>
            </w:r>
          </w:p>
        </w:tc>
      </w:tr>
    </w:tbl>
    <w:p w14:paraId="315798EB" w14:textId="307618C2" w:rsidR="00FB6EC0" w:rsidRDefault="00E41D3A" w:rsidP="00071913">
      <w:pPr>
        <w:spacing w:before="360"/>
        <w:rPr>
          <w:rFonts w:cs="Open Sans"/>
        </w:rPr>
      </w:pPr>
      <w:r w:rsidRPr="000F280F">
        <w:rPr>
          <w:rFonts w:cs="Open Sans"/>
          <w:b/>
        </w:rPr>
        <w:t>Indirect discrimination</w:t>
      </w:r>
      <w:r w:rsidRPr="000F280F">
        <w:rPr>
          <w:rFonts w:cs="Open Sans"/>
        </w:rPr>
        <w:t xml:space="preserve"> can be less obvious. </w:t>
      </w:r>
      <w:r w:rsidR="00FB6EC0">
        <w:rPr>
          <w:rFonts w:cs="Open Sans"/>
        </w:rPr>
        <w:t>It</w:t>
      </w:r>
      <w:r w:rsidRPr="000F280F">
        <w:rPr>
          <w:rFonts w:cs="Open Sans"/>
        </w:rPr>
        <w:t xml:space="preserve"> occurs when a condition, requirement or practice that applies to everyone, disadvantages people of a particular age, and the condition, requirement or practice is not reasonable in the circumstances.</w:t>
      </w:r>
    </w:p>
    <w:p w14:paraId="74EE1BCA" w14:textId="1CC529C2" w:rsidR="00E41D3A" w:rsidRPr="000F280F" w:rsidRDefault="00E41D3A" w:rsidP="00E954D8">
      <w:pPr>
        <w:spacing w:after="360"/>
        <w:rPr>
          <w:rFonts w:cs="Open Sans"/>
        </w:rPr>
      </w:pPr>
      <w:r w:rsidRPr="000F280F">
        <w:rPr>
          <w:rFonts w:cs="Open Sans"/>
        </w:rPr>
        <w:t xml:space="preserve">In a work context </w:t>
      </w:r>
      <w:r w:rsidR="005E6819">
        <w:rPr>
          <w:rFonts w:cs="Open Sans"/>
        </w:rPr>
        <w:t xml:space="preserve">the </w:t>
      </w:r>
      <w:r w:rsidRPr="000F280F">
        <w:rPr>
          <w:rFonts w:cs="Open Sans"/>
        </w:rPr>
        <w:t xml:space="preserve">employer or work provider </w:t>
      </w:r>
      <w:r w:rsidR="005E6819">
        <w:rPr>
          <w:rFonts w:cs="Open Sans"/>
        </w:rPr>
        <w:t xml:space="preserve">is required </w:t>
      </w:r>
      <w:r w:rsidRPr="000F280F">
        <w:rPr>
          <w:rFonts w:cs="Open Sans"/>
        </w:rPr>
        <w:t>to prove that the condi</w:t>
      </w:r>
      <w:r w:rsidR="00BD41B4" w:rsidRPr="00BD41B4">
        <w:rPr>
          <w:rFonts w:cs="Open Sans"/>
        </w:rPr>
        <w:t>tion, requirement or practice i</w:t>
      </w:r>
      <w:r w:rsidRPr="000F280F">
        <w:rPr>
          <w:rFonts w:cs="Open Sans"/>
        </w:rPr>
        <w:t>s reasonable.</w:t>
      </w:r>
    </w:p>
    <w:tbl>
      <w:tblPr>
        <w:tblStyle w:val="Grigliatabella"/>
        <w:tblW w:w="0" w:type="auto"/>
        <w:tblInd w:w="0" w:type="dxa"/>
        <w:shd w:val="clear" w:color="auto" w:fill="BDD6EE" w:themeFill="accent5" w:themeFillTint="66"/>
        <w:tblLook w:val="04A0" w:firstRow="1" w:lastRow="0" w:firstColumn="1" w:lastColumn="0" w:noHBand="0" w:noVBand="1"/>
      </w:tblPr>
      <w:tblGrid>
        <w:gridCol w:w="1349"/>
        <w:gridCol w:w="8001"/>
      </w:tblGrid>
      <w:tr w:rsidR="000D4EF8" w14:paraId="5575860A" w14:textId="77777777" w:rsidTr="002845B8">
        <w:trPr>
          <w:trHeight w:val="1862"/>
        </w:trPr>
        <w:tc>
          <w:tcPr>
            <w:tcW w:w="988" w:type="dxa"/>
            <w:tcBorders>
              <w:right w:val="nil"/>
            </w:tcBorders>
            <w:shd w:val="clear" w:color="auto" w:fill="BDD6EE" w:themeFill="accent5" w:themeFillTint="66"/>
          </w:tcPr>
          <w:p w14:paraId="01FE6939" w14:textId="37382480" w:rsidR="000D4EF8" w:rsidRDefault="000D4EF8" w:rsidP="00A9370E">
            <w:r>
              <w:rPr>
                <w:noProof/>
              </w:rPr>
              <w:drawing>
                <wp:inline distT="0" distB="0" distL="0" distR="0" wp14:anchorId="263F252B" wp14:editId="4832AE8F">
                  <wp:extent cx="720000" cy="720000"/>
                  <wp:effectExtent l="0" t="0" r="0" b="0"/>
                  <wp:docPr id="6" name="Graphic 2"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0000" cy="720000"/>
                          </a:xfrm>
                          <a:prstGeom prst="rect">
                            <a:avLst/>
                          </a:prstGeom>
                        </pic:spPr>
                      </pic:pic>
                    </a:graphicData>
                  </a:graphic>
                </wp:inline>
              </w:drawing>
            </w:r>
          </w:p>
        </w:tc>
        <w:tc>
          <w:tcPr>
            <w:tcW w:w="8362" w:type="dxa"/>
            <w:tcBorders>
              <w:left w:val="nil"/>
            </w:tcBorders>
            <w:shd w:val="clear" w:color="auto" w:fill="BDD6EE" w:themeFill="accent5" w:themeFillTint="66"/>
          </w:tcPr>
          <w:p w14:paraId="18176B21" w14:textId="1A847C00" w:rsidR="000D4EF8" w:rsidRPr="0092456C" w:rsidRDefault="000D4EF8" w:rsidP="0092456C">
            <w:pPr>
              <w:rPr>
                <w:rFonts w:cs="Open Sans"/>
              </w:rPr>
            </w:pPr>
            <w:r w:rsidRPr="0092456C">
              <w:rPr>
                <w:rFonts w:cs="Open Sans"/>
              </w:rPr>
              <w:t xml:space="preserve">For </w:t>
            </w:r>
            <w:r w:rsidRPr="00FE11C4">
              <w:rPr>
                <w:rFonts w:cs="Open Sans"/>
              </w:rPr>
              <w:t xml:space="preserve">example, </w:t>
            </w:r>
            <w:r w:rsidR="00FE11C4" w:rsidRPr="00DF6C1D">
              <w:rPr>
                <w:rFonts w:cs="Open Sans"/>
              </w:rPr>
              <w:t xml:space="preserve">it could be indirect discrimination if </w:t>
            </w:r>
            <w:r w:rsidR="00FE11C4" w:rsidRPr="004A38D6">
              <w:rPr>
                <w:rFonts w:cs="Open Sans"/>
              </w:rPr>
              <w:t>an</w:t>
            </w:r>
            <w:r w:rsidR="00FE11C4" w:rsidRPr="004A38D6">
              <w:rPr>
                <w:rFonts w:cs="Open Sans"/>
                <w:color w:val="000000"/>
              </w:rPr>
              <w:t xml:space="preserve"> employer requires an older person to meet a physical fitness test, which more young people are able to meet, if that fitness standard is not necessary for the job in question.</w:t>
            </w:r>
          </w:p>
        </w:tc>
      </w:tr>
    </w:tbl>
    <w:p w14:paraId="04035902" w14:textId="22824791" w:rsidR="002845B8" w:rsidRDefault="002845B8" w:rsidP="002845B8"/>
    <w:p w14:paraId="7B003F24" w14:textId="77777777" w:rsidR="002845B8" w:rsidRDefault="002845B8">
      <w:pPr>
        <w:spacing w:before="0" w:after="160" w:line="259" w:lineRule="auto"/>
      </w:pPr>
      <w:r>
        <w:br w:type="page"/>
      </w:r>
    </w:p>
    <w:p w14:paraId="4F6ABC1C" w14:textId="0F27C6D3" w:rsidR="004D5CD7" w:rsidRPr="000F280F" w:rsidRDefault="00A9370E" w:rsidP="00215EC1">
      <w:pPr>
        <w:pStyle w:val="Titolo1"/>
        <w:rPr>
          <w:lang w:val="en"/>
        </w:rPr>
      </w:pPr>
      <w:r w:rsidRPr="000F280F">
        <w:lastRenderedPageBreak/>
        <w:t xml:space="preserve">When is it </w:t>
      </w:r>
      <w:r w:rsidRPr="00215EC1">
        <w:t>unlawful</w:t>
      </w:r>
      <w:r w:rsidRPr="000F280F">
        <w:t xml:space="preserve"> to discriminate in </w:t>
      </w:r>
      <w:r w:rsidR="00930FAC">
        <w:t xml:space="preserve">a </w:t>
      </w:r>
      <w:r w:rsidRPr="000F280F">
        <w:t>work</w:t>
      </w:r>
      <w:r w:rsidR="00930FAC">
        <w:t xml:space="preserve"> context</w:t>
      </w:r>
      <w:r w:rsidRPr="000F280F">
        <w:t>?</w:t>
      </w:r>
    </w:p>
    <w:p w14:paraId="3FFDC1C8" w14:textId="585C432A" w:rsidR="00930FAC" w:rsidRDefault="001B120D" w:rsidP="00930FAC">
      <w:r w:rsidRPr="000F280F">
        <w:t xml:space="preserve">The </w:t>
      </w:r>
      <w:r w:rsidR="002400D0" w:rsidRPr="000F280F">
        <w:t>Act</w:t>
      </w:r>
      <w:r w:rsidRPr="000F280F">
        <w:t xml:space="preserve"> makes it unlawful to discriminate on the basis of age </w:t>
      </w:r>
      <w:r w:rsidR="00930FAC">
        <w:t>in relation to</w:t>
      </w:r>
      <w:r w:rsidR="00403176">
        <w:t>, amongst other things</w:t>
      </w:r>
      <w:r w:rsidR="00930FAC">
        <w:t>:</w:t>
      </w:r>
    </w:p>
    <w:p w14:paraId="4B448EE7" w14:textId="3828A2B4" w:rsidR="00930FAC" w:rsidRDefault="00930FAC" w:rsidP="00930FAC">
      <w:pPr>
        <w:pStyle w:val="Paragrafoelenco"/>
        <w:numPr>
          <w:ilvl w:val="0"/>
          <w:numId w:val="4"/>
        </w:numPr>
      </w:pPr>
      <w:r>
        <w:t>recruitment arrangements</w:t>
      </w:r>
    </w:p>
    <w:p w14:paraId="75797DB2" w14:textId="2E460195" w:rsidR="00930FAC" w:rsidRDefault="00930FAC" w:rsidP="00930FAC">
      <w:pPr>
        <w:pStyle w:val="Paragrafoelenco"/>
        <w:numPr>
          <w:ilvl w:val="0"/>
          <w:numId w:val="4"/>
        </w:numPr>
      </w:pPr>
      <w:r>
        <w:t>decisions about who should be offered a role</w:t>
      </w:r>
    </w:p>
    <w:p w14:paraId="4EB77E74" w14:textId="689C0343" w:rsidR="00FB6EC0" w:rsidRDefault="00906B6F" w:rsidP="00930FAC">
      <w:pPr>
        <w:pStyle w:val="Paragrafoelenco"/>
        <w:numPr>
          <w:ilvl w:val="0"/>
          <w:numId w:val="4"/>
        </w:numPr>
      </w:pPr>
      <w:r>
        <w:t xml:space="preserve">access to </w:t>
      </w:r>
      <w:r w:rsidR="00FB6EC0">
        <w:t>the benefits of a role</w:t>
      </w:r>
    </w:p>
    <w:p w14:paraId="6C33CD81" w14:textId="71748272" w:rsidR="00FB6EC0" w:rsidRDefault="003B2F57" w:rsidP="00930FAC">
      <w:pPr>
        <w:pStyle w:val="Paragrafoelenco"/>
        <w:numPr>
          <w:ilvl w:val="0"/>
          <w:numId w:val="4"/>
        </w:numPr>
      </w:pPr>
      <w:r>
        <w:t>access to promotion, transfer or training opportunities</w:t>
      </w:r>
    </w:p>
    <w:p w14:paraId="7B6C3805" w14:textId="77777777" w:rsidR="003B2F57" w:rsidRDefault="00930FAC" w:rsidP="00930FAC">
      <w:pPr>
        <w:pStyle w:val="Paragrafoelenco"/>
        <w:numPr>
          <w:ilvl w:val="0"/>
          <w:numId w:val="4"/>
        </w:numPr>
      </w:pPr>
      <w:r>
        <w:t>the terms and conditions of a role</w:t>
      </w:r>
    </w:p>
    <w:p w14:paraId="686D28CD" w14:textId="77777777" w:rsidR="00906B6F" w:rsidRPr="00DF6C1D" w:rsidRDefault="003B2F57" w:rsidP="001E07AD">
      <w:pPr>
        <w:pStyle w:val="Paragrafoelenco"/>
        <w:numPr>
          <w:ilvl w:val="0"/>
          <w:numId w:val="4"/>
        </w:numPr>
        <w:rPr>
          <w:lang w:val="en"/>
        </w:rPr>
      </w:pPr>
      <w:r>
        <w:t>termination</w:t>
      </w:r>
    </w:p>
    <w:p w14:paraId="486EB749" w14:textId="427C3BCA" w:rsidR="00B244E7" w:rsidRPr="001E07AD" w:rsidRDefault="00906B6F" w:rsidP="001E07AD">
      <w:pPr>
        <w:pStyle w:val="Paragrafoelenco"/>
        <w:numPr>
          <w:ilvl w:val="0"/>
          <w:numId w:val="4"/>
        </w:numPr>
        <w:rPr>
          <w:lang w:val="en"/>
        </w:rPr>
      </w:pPr>
      <w:r>
        <w:t>any other detriment</w:t>
      </w:r>
      <w:r w:rsidR="00105197">
        <w:t>.</w:t>
      </w:r>
    </w:p>
    <w:p w14:paraId="7CA081EC" w14:textId="6795C279" w:rsidR="0038369C" w:rsidRDefault="004C08E2" w:rsidP="001B120D">
      <w:pPr>
        <w:rPr>
          <w:lang w:val="en"/>
        </w:rPr>
      </w:pPr>
      <w:r>
        <w:rPr>
          <w:lang w:val="en"/>
        </w:rPr>
        <w:t>A broad range</w:t>
      </w:r>
      <w:r w:rsidR="0038369C" w:rsidRPr="00C21C10">
        <w:rPr>
          <w:lang w:val="en"/>
        </w:rPr>
        <w:t xml:space="preserve"> of </w:t>
      </w:r>
      <w:r w:rsidR="0038369C">
        <w:rPr>
          <w:lang w:val="en"/>
        </w:rPr>
        <w:t>work providers</w:t>
      </w:r>
      <w:r>
        <w:rPr>
          <w:lang w:val="en"/>
        </w:rPr>
        <w:t>,</w:t>
      </w:r>
      <w:r w:rsidR="0038369C" w:rsidRPr="00C21C10">
        <w:rPr>
          <w:lang w:val="en"/>
        </w:rPr>
        <w:t xml:space="preserve"> and </w:t>
      </w:r>
      <w:r w:rsidR="0038369C">
        <w:rPr>
          <w:lang w:val="en"/>
        </w:rPr>
        <w:t>work</w:t>
      </w:r>
      <w:r w:rsidR="0038369C" w:rsidRPr="00C21C10">
        <w:rPr>
          <w:lang w:val="en"/>
        </w:rPr>
        <w:t xml:space="preserve"> </w:t>
      </w:r>
      <w:r w:rsidR="00E218D1">
        <w:rPr>
          <w:lang w:val="en"/>
        </w:rPr>
        <w:t>relationships</w:t>
      </w:r>
      <w:r>
        <w:rPr>
          <w:lang w:val="en"/>
        </w:rPr>
        <w:t>,</w:t>
      </w:r>
      <w:r w:rsidR="0038369C" w:rsidRPr="00C21C10">
        <w:rPr>
          <w:lang w:val="en"/>
        </w:rPr>
        <w:t xml:space="preserve"> are</w:t>
      </w:r>
      <w:r>
        <w:rPr>
          <w:lang w:val="en"/>
        </w:rPr>
        <w:t xml:space="preserve"> </w:t>
      </w:r>
      <w:r w:rsidR="0038369C" w:rsidRPr="00C21C10">
        <w:rPr>
          <w:lang w:val="en"/>
        </w:rPr>
        <w:t>covered under the A</w:t>
      </w:r>
      <w:r w:rsidR="0038369C">
        <w:rPr>
          <w:lang w:val="en"/>
        </w:rPr>
        <w:t>ct</w:t>
      </w:r>
      <w:r w:rsidR="0038369C" w:rsidRPr="00C21C10">
        <w:rPr>
          <w:lang w:val="en"/>
        </w:rPr>
        <w:t xml:space="preserve">, including </w:t>
      </w:r>
      <w:r w:rsidR="00BD41B4">
        <w:rPr>
          <w:lang w:val="en"/>
        </w:rPr>
        <w:t xml:space="preserve">the </w:t>
      </w:r>
      <w:r w:rsidR="0038369C" w:rsidRPr="00C21C10">
        <w:t xml:space="preserve">Commonwealth </w:t>
      </w:r>
      <w:r>
        <w:t>g</w:t>
      </w:r>
      <w:r w:rsidR="0038369C" w:rsidRPr="00C21C10">
        <w:t>overnment, state government</w:t>
      </w:r>
      <w:r w:rsidR="003B2F57">
        <w:rPr>
          <w:lang w:val="en"/>
        </w:rPr>
        <w:t>,</w:t>
      </w:r>
      <w:r w:rsidR="0038369C" w:rsidRPr="00C21C10">
        <w:rPr>
          <w:lang w:val="en"/>
        </w:rPr>
        <w:t xml:space="preserve"> private sector</w:t>
      </w:r>
      <w:r>
        <w:rPr>
          <w:lang w:val="en"/>
        </w:rPr>
        <w:t>, partners, contract workers and commission agents.</w:t>
      </w:r>
    </w:p>
    <w:p w14:paraId="193BE27D" w14:textId="672BD12B" w:rsidR="0038369C" w:rsidRDefault="003B2F57" w:rsidP="00C15B52">
      <w:pPr>
        <w:spacing w:after="400"/>
        <w:rPr>
          <w:lang w:val="en"/>
        </w:rPr>
      </w:pPr>
      <w:r>
        <w:rPr>
          <w:lang w:val="en"/>
        </w:rPr>
        <w:t>The Act also</w:t>
      </w:r>
      <w:r w:rsidR="0038369C" w:rsidRPr="00C21C10">
        <w:rPr>
          <w:lang w:val="en"/>
        </w:rPr>
        <w:t xml:space="preserve"> </w:t>
      </w:r>
      <w:r>
        <w:rPr>
          <w:lang w:val="en"/>
        </w:rPr>
        <w:t>applies to</w:t>
      </w:r>
      <w:r w:rsidR="0038369C" w:rsidRPr="00C21C10">
        <w:rPr>
          <w:lang w:val="en"/>
        </w:rPr>
        <w:t xml:space="preserve"> recruitment processes </w:t>
      </w:r>
      <w:r w:rsidR="00DC615B">
        <w:rPr>
          <w:lang w:val="en"/>
        </w:rPr>
        <w:t>performed by</w:t>
      </w:r>
      <w:r w:rsidR="0038369C" w:rsidRPr="00C21C10">
        <w:rPr>
          <w:lang w:val="en"/>
        </w:rPr>
        <w:t xml:space="preserve"> employment agencies</w:t>
      </w:r>
      <w:r w:rsidR="00DC615B">
        <w:rPr>
          <w:lang w:val="en"/>
        </w:rPr>
        <w:t xml:space="preserve"> on behalf of </w:t>
      </w:r>
      <w:r w:rsidR="007A28D5">
        <w:rPr>
          <w:lang w:val="en"/>
        </w:rPr>
        <w:t>employers</w:t>
      </w:r>
      <w:r w:rsidR="0038369C" w:rsidRPr="00C21C10">
        <w:rPr>
          <w:lang w:val="en"/>
        </w:rPr>
        <w:t>.</w:t>
      </w:r>
    </w:p>
    <w:tbl>
      <w:tblPr>
        <w:tblStyle w:val="Grigliatabella"/>
        <w:tblW w:w="0" w:type="auto"/>
        <w:tblInd w:w="0" w:type="dxa"/>
        <w:shd w:val="clear" w:color="auto" w:fill="BDD6EE" w:themeFill="accent5" w:themeFillTint="66"/>
        <w:tblCellMar>
          <w:left w:w="0" w:type="dxa"/>
          <w:right w:w="0" w:type="dxa"/>
        </w:tblCellMar>
        <w:tblLook w:val="04A0" w:firstRow="1" w:lastRow="0" w:firstColumn="1" w:lastColumn="0" w:noHBand="0" w:noVBand="1"/>
      </w:tblPr>
      <w:tblGrid>
        <w:gridCol w:w="1705"/>
        <w:gridCol w:w="7645"/>
      </w:tblGrid>
      <w:tr w:rsidR="0038369C" w14:paraId="42317BCB" w14:textId="77777777" w:rsidTr="005E574C">
        <w:tc>
          <w:tcPr>
            <w:tcW w:w="1705" w:type="dxa"/>
            <w:tcBorders>
              <w:right w:val="nil"/>
            </w:tcBorders>
            <w:shd w:val="clear" w:color="auto" w:fill="BDD6EE" w:themeFill="accent5" w:themeFillTint="66"/>
            <w:vAlign w:val="center"/>
          </w:tcPr>
          <w:p w14:paraId="36EEFC52" w14:textId="529F5857" w:rsidR="0038369C" w:rsidRDefault="0038369C" w:rsidP="005E574C">
            <w:pPr>
              <w:jc w:val="center"/>
              <w:rPr>
                <w:lang w:val="en"/>
              </w:rPr>
            </w:pPr>
            <w:r>
              <w:rPr>
                <w:noProof/>
              </w:rPr>
              <w:drawing>
                <wp:inline distT="0" distB="0" distL="0" distR="0" wp14:anchorId="1044C6A2" wp14:editId="1DDAF33F">
                  <wp:extent cx="720000" cy="720000"/>
                  <wp:effectExtent l="0" t="0" r="0" b="0"/>
                  <wp:docPr id="2" name="Graphic 2"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0000" cy="720000"/>
                          </a:xfrm>
                          <a:prstGeom prst="rect">
                            <a:avLst/>
                          </a:prstGeom>
                        </pic:spPr>
                      </pic:pic>
                    </a:graphicData>
                  </a:graphic>
                </wp:inline>
              </w:drawing>
            </w:r>
          </w:p>
        </w:tc>
        <w:tc>
          <w:tcPr>
            <w:tcW w:w="7645" w:type="dxa"/>
            <w:tcBorders>
              <w:left w:val="nil"/>
            </w:tcBorders>
            <w:shd w:val="clear" w:color="auto" w:fill="BDD6EE" w:themeFill="accent5" w:themeFillTint="66"/>
            <w:vAlign w:val="center"/>
          </w:tcPr>
          <w:p w14:paraId="0952A285" w14:textId="2E0F77ED" w:rsidR="0038369C" w:rsidRPr="000F280F" w:rsidRDefault="00B244E7" w:rsidP="00CA01B5">
            <w:pPr>
              <w:pStyle w:val="Bullet"/>
              <w:numPr>
                <w:ilvl w:val="0"/>
                <w:numId w:val="0"/>
              </w:numPr>
              <w:spacing w:before="0" w:after="120"/>
              <w:ind w:left="312" w:firstLine="45"/>
            </w:pPr>
            <w:r>
              <w:t>Age discrimination against older workers</w:t>
            </w:r>
            <w:r w:rsidR="00837EBF">
              <w:t xml:space="preserve"> may include</w:t>
            </w:r>
            <w:r>
              <w:t xml:space="preserve"> </w:t>
            </w:r>
            <w:r w:rsidR="0038369C" w:rsidRPr="00C21C10">
              <w:t>not</w:t>
            </w:r>
            <w:r w:rsidR="00171DB2">
              <w:t xml:space="preserve"> </w:t>
            </w:r>
            <w:r w:rsidR="00837EBF">
              <w:t>inviting</w:t>
            </w:r>
            <w:r w:rsidR="003B2F57">
              <w:t xml:space="preserve"> a person</w:t>
            </w:r>
            <w:r w:rsidR="0038369C" w:rsidRPr="00C21C10">
              <w:t xml:space="preserve"> </w:t>
            </w:r>
            <w:r w:rsidR="00BD41B4">
              <w:t>aged</w:t>
            </w:r>
            <w:r w:rsidR="003B2F57">
              <w:t xml:space="preserve"> over 50 </w:t>
            </w:r>
            <w:r w:rsidR="00837EBF">
              <w:t xml:space="preserve">to join a partnership </w:t>
            </w:r>
            <w:r w:rsidR="00BD41B4">
              <w:t xml:space="preserve">because they </w:t>
            </w:r>
            <w:r w:rsidR="0038369C" w:rsidRPr="00C21C10">
              <w:t xml:space="preserve">won’t ‘fit in’ </w:t>
            </w:r>
            <w:r w:rsidR="003B2F57">
              <w:t>with the ‘young vibe’ of the team</w:t>
            </w:r>
            <w:r w:rsidR="00837EBF">
              <w:t>.</w:t>
            </w:r>
          </w:p>
        </w:tc>
      </w:tr>
    </w:tbl>
    <w:p w14:paraId="49089911" w14:textId="37E713F2" w:rsidR="00930FAC" w:rsidRDefault="00930FAC" w:rsidP="00930FAC"/>
    <w:tbl>
      <w:tblPr>
        <w:tblStyle w:val="Grigliatabella"/>
        <w:tblW w:w="0" w:type="auto"/>
        <w:tblInd w:w="0" w:type="dxa"/>
        <w:shd w:val="clear" w:color="auto" w:fill="E7E6E6" w:themeFill="background2"/>
        <w:tblLook w:val="04A0" w:firstRow="1" w:lastRow="0" w:firstColumn="1" w:lastColumn="0" w:noHBand="0" w:noVBand="1"/>
      </w:tblPr>
      <w:tblGrid>
        <w:gridCol w:w="1885"/>
        <w:gridCol w:w="7465"/>
      </w:tblGrid>
      <w:tr w:rsidR="00284448" w14:paraId="469B192C" w14:textId="77777777" w:rsidTr="005E574C">
        <w:tc>
          <w:tcPr>
            <w:tcW w:w="1885" w:type="dxa"/>
            <w:tcBorders>
              <w:right w:val="nil"/>
            </w:tcBorders>
            <w:shd w:val="clear" w:color="auto" w:fill="E7E6E6" w:themeFill="background2"/>
            <w:vAlign w:val="center"/>
          </w:tcPr>
          <w:p w14:paraId="32C9424D" w14:textId="516F413B" w:rsidR="00284448" w:rsidRDefault="00284448" w:rsidP="005E574C">
            <w:pPr>
              <w:jc w:val="center"/>
            </w:pPr>
            <w:r>
              <w:rPr>
                <w:noProof/>
              </w:rPr>
              <w:drawing>
                <wp:inline distT="0" distB="0" distL="0" distR="0" wp14:anchorId="03FA99E8" wp14:editId="5883EC55">
                  <wp:extent cx="900000" cy="900000"/>
                  <wp:effectExtent l="0" t="0" r="0" b="0"/>
                  <wp:docPr id="3" name="Graphic 3" descr="Scales of just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lesofJustic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00000" cy="900000"/>
                          </a:xfrm>
                          <a:prstGeom prst="rect">
                            <a:avLst/>
                          </a:prstGeom>
                        </pic:spPr>
                      </pic:pic>
                    </a:graphicData>
                  </a:graphic>
                </wp:inline>
              </w:drawing>
            </w:r>
          </w:p>
        </w:tc>
        <w:tc>
          <w:tcPr>
            <w:tcW w:w="7465" w:type="dxa"/>
            <w:tcBorders>
              <w:left w:val="nil"/>
            </w:tcBorders>
            <w:shd w:val="clear" w:color="auto" w:fill="E7E6E6" w:themeFill="background2"/>
          </w:tcPr>
          <w:p w14:paraId="4449AFCD" w14:textId="6F2FF571" w:rsidR="00284448" w:rsidRDefault="00284448" w:rsidP="00930FAC">
            <w:r>
              <w:t>The Act also creates offences in relation to discrimination based on age in the context of:</w:t>
            </w:r>
          </w:p>
          <w:p w14:paraId="444C5D0B" w14:textId="4AC5D55B" w:rsidR="00284448" w:rsidRDefault="00284448" w:rsidP="00284448">
            <w:pPr>
              <w:pStyle w:val="Paragrafoelenco"/>
              <w:numPr>
                <w:ilvl w:val="0"/>
                <w:numId w:val="5"/>
              </w:numPr>
            </w:pPr>
            <w:r>
              <w:t xml:space="preserve">job </w:t>
            </w:r>
            <w:hyperlink r:id="rId26" w:history="1">
              <w:r w:rsidRPr="00A0147F">
                <w:rPr>
                  <w:rStyle w:val="Collegamentoipertestuale"/>
                </w:rPr>
                <w:t>advertisements</w:t>
              </w:r>
            </w:hyperlink>
          </w:p>
          <w:p w14:paraId="6E016560" w14:textId="6B031151" w:rsidR="00284448" w:rsidRPr="000F280F" w:rsidRDefault="00A31517" w:rsidP="000F280F">
            <w:pPr>
              <w:pStyle w:val="Paragrafoelenco"/>
              <w:numPr>
                <w:ilvl w:val="0"/>
                <w:numId w:val="5"/>
              </w:numPr>
            </w:pPr>
            <w:hyperlink r:id="rId27" w:history="1">
              <w:r w:rsidR="00284448" w:rsidRPr="00A0147F">
                <w:rPr>
                  <w:rStyle w:val="Collegamentoipertestuale"/>
                </w:rPr>
                <w:t>victimisation</w:t>
              </w:r>
            </w:hyperlink>
            <w:r w:rsidR="00284448">
              <w:t xml:space="preserve"> as the result of a complaint or other action under the Act.</w:t>
            </w:r>
          </w:p>
        </w:tc>
      </w:tr>
    </w:tbl>
    <w:p w14:paraId="1472D9BC" w14:textId="2F89EDC5" w:rsidR="00BD41B4" w:rsidRPr="00215EC1" w:rsidRDefault="00BD41B4" w:rsidP="00215EC1"/>
    <w:tbl>
      <w:tblPr>
        <w:tblStyle w:val="Grigliatabella"/>
        <w:tblW w:w="0" w:type="auto"/>
        <w:tblInd w:w="0" w:type="dxa"/>
        <w:shd w:val="clear" w:color="auto" w:fill="E7E6E6" w:themeFill="background2"/>
        <w:tblLook w:val="04A0" w:firstRow="1" w:lastRow="0" w:firstColumn="1" w:lastColumn="0" w:noHBand="0" w:noVBand="1"/>
      </w:tblPr>
      <w:tblGrid>
        <w:gridCol w:w="1555"/>
        <w:gridCol w:w="7795"/>
      </w:tblGrid>
      <w:tr w:rsidR="00BD41B4" w14:paraId="37A0B17F" w14:textId="77777777" w:rsidTr="004A38D6">
        <w:tc>
          <w:tcPr>
            <w:tcW w:w="1555" w:type="dxa"/>
            <w:tcBorders>
              <w:right w:val="nil"/>
            </w:tcBorders>
            <w:shd w:val="clear" w:color="auto" w:fill="E7E6E6" w:themeFill="background2"/>
          </w:tcPr>
          <w:p w14:paraId="4448C588" w14:textId="67887BDE" w:rsidR="00BD41B4" w:rsidRDefault="007819AC" w:rsidP="00BD41B4">
            <w:r>
              <w:rPr>
                <w:noProof/>
              </w:rPr>
              <w:drawing>
                <wp:inline distT="0" distB="0" distL="0" distR="0" wp14:anchorId="5C17F517" wp14:editId="7DBA9FAA">
                  <wp:extent cx="720000" cy="720000"/>
                  <wp:effectExtent l="0" t="0" r="0" b="0"/>
                  <wp:docPr id="9" name="Graphic 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0000" cy="720000"/>
                          </a:xfrm>
                          <a:prstGeom prst="rect">
                            <a:avLst/>
                          </a:prstGeom>
                        </pic:spPr>
                      </pic:pic>
                    </a:graphicData>
                  </a:graphic>
                </wp:inline>
              </w:drawing>
            </w:r>
          </w:p>
        </w:tc>
        <w:tc>
          <w:tcPr>
            <w:tcW w:w="7795" w:type="dxa"/>
            <w:tcBorders>
              <w:left w:val="nil"/>
            </w:tcBorders>
            <w:shd w:val="clear" w:color="auto" w:fill="E7E6E6" w:themeFill="background2"/>
          </w:tcPr>
          <w:p w14:paraId="7DB215E9" w14:textId="37A3E070" w:rsidR="00E218D1" w:rsidRDefault="00EC6640" w:rsidP="00EC6640">
            <w:pPr>
              <w:rPr>
                <w:rFonts w:cs="Open Sans"/>
              </w:rPr>
            </w:pPr>
            <w:r w:rsidRPr="001E07AD">
              <w:rPr>
                <w:rFonts w:cs="Open Sans"/>
              </w:rPr>
              <w:t>It is also unlawful for other bodies that are not work providers to discriminate against a person in relation to activities connected to work.</w:t>
            </w:r>
          </w:p>
          <w:p w14:paraId="0A2573E0" w14:textId="13995DD9" w:rsidR="00EC6640" w:rsidRPr="001E07AD" w:rsidRDefault="00EC6640" w:rsidP="00EC6640">
            <w:pPr>
              <w:rPr>
                <w:rFonts w:cs="Open Sans"/>
              </w:rPr>
            </w:pPr>
            <w:r w:rsidRPr="001E07AD">
              <w:rPr>
                <w:rFonts w:cs="Open Sans"/>
              </w:rPr>
              <w:t xml:space="preserve">For example, it is unlawful for a body that issues </w:t>
            </w:r>
            <w:hyperlink r:id="rId28" w:history="1">
              <w:r w:rsidRPr="001E07AD">
                <w:rPr>
                  <w:rStyle w:val="Collegamentoipertestuale"/>
                  <w:rFonts w:cs="Open Sans"/>
                </w:rPr>
                <w:t>qualifications</w:t>
              </w:r>
            </w:hyperlink>
            <w:r w:rsidRPr="001E07AD">
              <w:rPr>
                <w:rFonts w:cs="Open Sans"/>
              </w:rPr>
              <w:t xml:space="preserve"> (such as a TAFE or university) or an </w:t>
            </w:r>
            <w:hyperlink r:id="rId29" w:history="1">
              <w:r w:rsidRPr="001E07AD">
                <w:rPr>
                  <w:rStyle w:val="Collegamentoipertestuale"/>
                  <w:rFonts w:cs="Open Sans"/>
                </w:rPr>
                <w:t>organisation or association</w:t>
              </w:r>
            </w:hyperlink>
            <w:r w:rsidRPr="001E07AD">
              <w:rPr>
                <w:rFonts w:cs="Open Sans"/>
              </w:rPr>
              <w:t xml:space="preserve"> registered or recognised under the </w:t>
            </w:r>
            <w:r w:rsidR="00A0147F" w:rsidRPr="001E07AD">
              <w:rPr>
                <w:rFonts w:cs="Open Sans"/>
                <w:i/>
              </w:rPr>
              <w:t>Fair Work (Registered Organisations) Act 2009</w:t>
            </w:r>
            <w:r w:rsidRPr="001E07AD">
              <w:rPr>
                <w:rFonts w:cs="Open Sans"/>
                <w:i/>
              </w:rPr>
              <w:t xml:space="preserve"> </w:t>
            </w:r>
            <w:r w:rsidRPr="001E07AD">
              <w:rPr>
                <w:rFonts w:cs="Open Sans"/>
              </w:rPr>
              <w:t>(</w:t>
            </w:r>
            <w:proofErr w:type="spellStart"/>
            <w:r w:rsidRPr="001E07AD">
              <w:rPr>
                <w:rFonts w:cs="Open Sans"/>
              </w:rPr>
              <w:t>Cth</w:t>
            </w:r>
            <w:proofErr w:type="spellEnd"/>
            <w:r w:rsidRPr="001E07AD">
              <w:rPr>
                <w:rFonts w:cs="Open Sans"/>
              </w:rPr>
              <w:t>) (such as a union) to discriminate against a person based on their age in particular circumstances.</w:t>
            </w:r>
          </w:p>
          <w:p w14:paraId="36CED3D0" w14:textId="2E4A57FF" w:rsidR="00BD41B4" w:rsidRPr="00EC6640" w:rsidRDefault="00EC6640">
            <w:pPr>
              <w:rPr>
                <w:rFonts w:cs="Open Sans"/>
              </w:rPr>
            </w:pPr>
            <w:r w:rsidRPr="001E07AD">
              <w:rPr>
                <w:rFonts w:cs="Open Sans"/>
              </w:rPr>
              <w:t>It is also important to note that requesting information about a person’s age for the purpose of discriminati</w:t>
            </w:r>
            <w:r w:rsidR="00A0147F">
              <w:rPr>
                <w:rFonts w:cs="Open Sans"/>
              </w:rPr>
              <w:t>ng</w:t>
            </w:r>
            <w:r w:rsidRPr="001E07AD">
              <w:rPr>
                <w:rFonts w:cs="Open Sans"/>
              </w:rPr>
              <w:t xml:space="preserve"> </w:t>
            </w:r>
            <w:r w:rsidR="00A0147F">
              <w:rPr>
                <w:rFonts w:cs="Open Sans"/>
              </w:rPr>
              <w:t xml:space="preserve">against them </w:t>
            </w:r>
            <w:r w:rsidRPr="001E07AD">
              <w:rPr>
                <w:rFonts w:cs="Open Sans"/>
              </w:rPr>
              <w:t>is also unlawful</w:t>
            </w:r>
            <w:r w:rsidR="004F6FA1">
              <w:rPr>
                <w:rFonts w:cs="Open Sans"/>
              </w:rPr>
              <w:t>.</w:t>
            </w:r>
          </w:p>
        </w:tc>
      </w:tr>
    </w:tbl>
    <w:p w14:paraId="704D4EE5" w14:textId="77777777" w:rsidR="002845B8" w:rsidRPr="002845B8" w:rsidRDefault="002845B8" w:rsidP="002845B8"/>
    <w:p w14:paraId="71B1C9FC" w14:textId="77777777" w:rsidR="002845B8" w:rsidRDefault="002845B8">
      <w:pPr>
        <w:spacing w:before="0" w:after="160" w:line="259" w:lineRule="auto"/>
        <w:rPr>
          <w:b/>
          <w:bCs/>
          <w:sz w:val="36"/>
          <w:szCs w:val="28"/>
        </w:rPr>
      </w:pPr>
      <w:r>
        <w:br w:type="page"/>
      </w:r>
    </w:p>
    <w:p w14:paraId="623EDFFA" w14:textId="60D8A153" w:rsidR="001B120D" w:rsidRPr="000F280F" w:rsidRDefault="001B120D" w:rsidP="002845B8">
      <w:pPr>
        <w:pStyle w:val="Titolo1"/>
      </w:pPr>
      <w:r w:rsidRPr="002845B8">
        <w:lastRenderedPageBreak/>
        <w:t>When</w:t>
      </w:r>
      <w:r w:rsidRPr="000F280F">
        <w:t xml:space="preserve"> </w:t>
      </w:r>
      <w:r w:rsidR="001D7D24" w:rsidRPr="000F280F">
        <w:t xml:space="preserve">is </w:t>
      </w:r>
      <w:r w:rsidRPr="00215EC1">
        <w:t>discrimination</w:t>
      </w:r>
      <w:r w:rsidRPr="000F280F">
        <w:t xml:space="preserve"> </w:t>
      </w:r>
      <w:r w:rsidR="001D7D24" w:rsidRPr="000F280F">
        <w:t>allowed?</w:t>
      </w:r>
    </w:p>
    <w:p w14:paraId="1FD68DD8" w14:textId="7567EEE7" w:rsidR="00284448" w:rsidRDefault="00284448" w:rsidP="001B120D">
      <w:pPr>
        <w:rPr>
          <w:rFonts w:cs="Arial"/>
        </w:rPr>
      </w:pPr>
      <w:r>
        <w:rPr>
          <w:rFonts w:cs="Arial"/>
        </w:rPr>
        <w:t>Discrimination</w:t>
      </w:r>
      <w:r w:rsidR="0031220C">
        <w:rPr>
          <w:rFonts w:cs="Arial"/>
        </w:rPr>
        <w:t xml:space="preserve"> on the basis of age</w:t>
      </w:r>
      <w:r>
        <w:rPr>
          <w:rFonts w:cs="Arial"/>
        </w:rPr>
        <w:t xml:space="preserve"> is allow</w:t>
      </w:r>
      <w:r w:rsidR="0000564C">
        <w:rPr>
          <w:rFonts w:cs="Arial"/>
        </w:rPr>
        <w:t>ed</w:t>
      </w:r>
      <w:r>
        <w:rPr>
          <w:rFonts w:cs="Arial"/>
        </w:rPr>
        <w:t xml:space="preserve"> where:</w:t>
      </w:r>
    </w:p>
    <w:p w14:paraId="08E52BD8" w14:textId="6C079561" w:rsidR="00284448" w:rsidRDefault="00284448" w:rsidP="00284448">
      <w:pPr>
        <w:pStyle w:val="Paragrafoelenco"/>
        <w:numPr>
          <w:ilvl w:val="0"/>
          <w:numId w:val="6"/>
        </w:numPr>
        <w:rPr>
          <w:rFonts w:cs="Arial"/>
        </w:rPr>
      </w:pPr>
      <w:r>
        <w:rPr>
          <w:rFonts w:cs="Arial"/>
        </w:rPr>
        <w:t>it constitutes ‘positive discrimination’</w:t>
      </w:r>
    </w:p>
    <w:p w14:paraId="3962BA75" w14:textId="4A6E2013" w:rsidR="007C7614" w:rsidRDefault="0000564C" w:rsidP="00284448">
      <w:pPr>
        <w:pStyle w:val="Paragrafoelenco"/>
        <w:numPr>
          <w:ilvl w:val="0"/>
          <w:numId w:val="6"/>
        </w:numPr>
        <w:rPr>
          <w:rFonts w:cs="Arial"/>
        </w:rPr>
      </w:pPr>
      <w:r>
        <w:rPr>
          <w:rFonts w:cs="Arial"/>
        </w:rPr>
        <w:t xml:space="preserve">a </w:t>
      </w:r>
      <w:r w:rsidR="007C7614">
        <w:rPr>
          <w:rFonts w:cs="Arial"/>
        </w:rPr>
        <w:t>specific exemption applies</w:t>
      </w:r>
    </w:p>
    <w:p w14:paraId="2A8890C7" w14:textId="2C132D58" w:rsidR="0000564C" w:rsidRDefault="007C7614" w:rsidP="00284448">
      <w:pPr>
        <w:pStyle w:val="Paragrafoelenco"/>
        <w:numPr>
          <w:ilvl w:val="0"/>
          <w:numId w:val="6"/>
        </w:numPr>
        <w:rPr>
          <w:rFonts w:cs="Arial"/>
        </w:rPr>
      </w:pPr>
      <w:r>
        <w:rPr>
          <w:rFonts w:cs="Arial"/>
        </w:rPr>
        <w:t xml:space="preserve">a </w:t>
      </w:r>
      <w:r w:rsidR="0000564C">
        <w:rPr>
          <w:rFonts w:cs="Arial"/>
        </w:rPr>
        <w:t>general exemption applies</w:t>
      </w:r>
    </w:p>
    <w:p w14:paraId="03FC2E85" w14:textId="4815E8EB" w:rsidR="0000564C" w:rsidRDefault="0000564C" w:rsidP="00284448">
      <w:pPr>
        <w:pStyle w:val="Paragrafoelenco"/>
        <w:numPr>
          <w:ilvl w:val="0"/>
          <w:numId w:val="6"/>
        </w:numPr>
        <w:rPr>
          <w:rFonts w:cs="Arial"/>
        </w:rPr>
      </w:pPr>
      <w:r>
        <w:rPr>
          <w:rFonts w:cs="Arial"/>
        </w:rPr>
        <w:t>a temporary exemption exists.</w:t>
      </w:r>
    </w:p>
    <w:p w14:paraId="31DF1FE3" w14:textId="20CB8005" w:rsidR="0000564C" w:rsidRPr="00C15B52" w:rsidRDefault="00F76B76" w:rsidP="00C15B52">
      <w:pPr>
        <w:pStyle w:val="Titolo2"/>
      </w:pPr>
      <w:r w:rsidRPr="00C15B52">
        <w:t xml:space="preserve">3.1 </w:t>
      </w:r>
      <w:r w:rsidR="0000564C" w:rsidRPr="00C15B52">
        <w:t>Positive discrimination</w:t>
      </w:r>
    </w:p>
    <w:p w14:paraId="571E3422" w14:textId="751EA315" w:rsidR="0000564C" w:rsidRDefault="0000564C" w:rsidP="00E954D8">
      <w:pPr>
        <w:spacing w:after="360"/>
        <w:rPr>
          <w:rFonts w:cs="Arial"/>
        </w:rPr>
      </w:pPr>
      <w:r w:rsidRPr="00DF6C1D">
        <w:rPr>
          <w:rFonts w:cs="Arial"/>
        </w:rPr>
        <w:t>Under the Act it is permissible to</w:t>
      </w:r>
      <w:r w:rsidR="00F76B76" w:rsidRPr="00DF6C1D">
        <w:rPr>
          <w:rFonts w:cs="Arial"/>
        </w:rPr>
        <w:t xml:space="preserve"> </w:t>
      </w:r>
      <w:hyperlink r:id="rId30" w:history="1">
        <w:r w:rsidR="00F76B76" w:rsidRPr="00DF6C1D">
          <w:rPr>
            <w:rStyle w:val="Collegamentoipertestuale"/>
            <w:rFonts w:cs="Arial"/>
          </w:rPr>
          <w:t>positively discriminate</w:t>
        </w:r>
      </w:hyperlink>
      <w:r w:rsidR="00F76B76" w:rsidRPr="00DF6C1D">
        <w:rPr>
          <w:rFonts w:cs="Arial"/>
        </w:rPr>
        <w:t xml:space="preserve"> in favour of </w:t>
      </w:r>
      <w:r w:rsidR="00930CCD" w:rsidRPr="00DF6C1D">
        <w:rPr>
          <w:rFonts w:cs="Arial"/>
        </w:rPr>
        <w:t xml:space="preserve">a </w:t>
      </w:r>
      <w:r w:rsidR="00F76B76" w:rsidRPr="00DF6C1D">
        <w:rPr>
          <w:rFonts w:cs="Arial"/>
        </w:rPr>
        <w:t>person by</w:t>
      </w:r>
      <w:r w:rsidRPr="00DF6C1D">
        <w:rPr>
          <w:rFonts w:cs="Arial"/>
        </w:rPr>
        <w:t xml:space="preserve"> provid</w:t>
      </w:r>
      <w:r w:rsidR="00F76B76" w:rsidRPr="00DF6C1D">
        <w:rPr>
          <w:rFonts w:cs="Arial"/>
        </w:rPr>
        <w:t>ing</w:t>
      </w:r>
      <w:r w:rsidRPr="00DF6C1D">
        <w:rPr>
          <w:rFonts w:cs="Arial"/>
        </w:rPr>
        <w:t xml:space="preserve"> </w:t>
      </w:r>
      <w:r w:rsidR="00CC46C5" w:rsidRPr="00DF6C1D">
        <w:rPr>
          <w:rFonts w:cs="Arial"/>
        </w:rPr>
        <w:t xml:space="preserve">them with </w:t>
      </w:r>
      <w:r w:rsidRPr="00DF6C1D">
        <w:rPr>
          <w:rFonts w:cs="Arial"/>
        </w:rPr>
        <w:t>a genuine benefit</w:t>
      </w:r>
      <w:r w:rsidR="004F6FA1">
        <w:rPr>
          <w:rFonts w:cs="Arial"/>
        </w:rPr>
        <w:t>,</w:t>
      </w:r>
      <w:r w:rsidRPr="00DF6C1D">
        <w:rPr>
          <w:rFonts w:cs="Arial"/>
        </w:rPr>
        <w:t xml:space="preserve"> or </w:t>
      </w:r>
      <w:r w:rsidR="00F76B76" w:rsidRPr="00DF6C1D">
        <w:rPr>
          <w:rFonts w:cs="Arial"/>
        </w:rPr>
        <w:t>doing</w:t>
      </w:r>
      <w:r w:rsidRPr="00DF6C1D">
        <w:rPr>
          <w:rFonts w:cs="Arial"/>
        </w:rPr>
        <w:t xml:space="preserve"> something that helps meet an identified need for people of </w:t>
      </w:r>
      <w:r w:rsidR="00CC46C5" w:rsidRPr="00DF6C1D">
        <w:rPr>
          <w:rFonts w:cs="Arial"/>
        </w:rPr>
        <w:t>their</w:t>
      </w:r>
      <w:r w:rsidR="00DF6C1D" w:rsidRPr="00DF6C1D">
        <w:rPr>
          <w:rFonts w:cs="Arial"/>
        </w:rPr>
        <w:t xml:space="preserve"> </w:t>
      </w:r>
      <w:r w:rsidRPr="00DF6C1D">
        <w:rPr>
          <w:rFonts w:cs="Arial"/>
        </w:rPr>
        <w:t>age group.</w:t>
      </w:r>
    </w:p>
    <w:tbl>
      <w:tblPr>
        <w:tblStyle w:val="Grigliatabella"/>
        <w:tblW w:w="0" w:type="auto"/>
        <w:tblInd w:w="0" w:type="dxa"/>
        <w:shd w:val="clear" w:color="auto" w:fill="BDD6EE" w:themeFill="accent5" w:themeFillTint="66"/>
        <w:tblLook w:val="04A0" w:firstRow="1" w:lastRow="0" w:firstColumn="1" w:lastColumn="0" w:noHBand="0" w:noVBand="1"/>
      </w:tblPr>
      <w:tblGrid>
        <w:gridCol w:w="1206"/>
        <w:gridCol w:w="8144"/>
      </w:tblGrid>
      <w:tr w:rsidR="00992EDD" w14:paraId="35FBCA9D" w14:textId="77777777" w:rsidTr="00CA01B5">
        <w:trPr>
          <w:trHeight w:val="1535"/>
        </w:trPr>
        <w:tc>
          <w:tcPr>
            <w:tcW w:w="988" w:type="dxa"/>
            <w:tcBorders>
              <w:right w:val="nil"/>
            </w:tcBorders>
            <w:shd w:val="clear" w:color="auto" w:fill="BDD6EE" w:themeFill="accent5" w:themeFillTint="66"/>
          </w:tcPr>
          <w:p w14:paraId="1D8C79D1" w14:textId="6768C937" w:rsidR="00992EDD" w:rsidRDefault="00992EDD" w:rsidP="00092481">
            <w:r>
              <w:rPr>
                <w:noProof/>
              </w:rPr>
              <w:drawing>
                <wp:inline distT="0" distB="0" distL="0" distR="0" wp14:anchorId="1798AA86" wp14:editId="34FDAA12">
                  <wp:extent cx="628650" cy="628650"/>
                  <wp:effectExtent l="0" t="0" r="0" b="0"/>
                  <wp:docPr id="8" name="Graphic 2"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28650" cy="628650"/>
                          </a:xfrm>
                          <a:prstGeom prst="rect">
                            <a:avLst/>
                          </a:prstGeom>
                        </pic:spPr>
                      </pic:pic>
                    </a:graphicData>
                  </a:graphic>
                </wp:inline>
              </w:drawing>
            </w:r>
          </w:p>
        </w:tc>
        <w:tc>
          <w:tcPr>
            <w:tcW w:w="8362" w:type="dxa"/>
            <w:tcBorders>
              <w:left w:val="nil"/>
            </w:tcBorders>
            <w:shd w:val="clear" w:color="auto" w:fill="BDD6EE" w:themeFill="accent5" w:themeFillTint="66"/>
          </w:tcPr>
          <w:p w14:paraId="312A11DB" w14:textId="3DA09ACD" w:rsidR="00992EDD" w:rsidRPr="0092456C" w:rsidRDefault="00677629" w:rsidP="00681AA3">
            <w:pPr>
              <w:rPr>
                <w:rFonts w:cs="Open Sans"/>
              </w:rPr>
            </w:pPr>
            <w:r>
              <w:rPr>
                <w:rFonts w:cs="Open Sans"/>
              </w:rPr>
              <w:t>For example,</w:t>
            </w:r>
            <w:r w:rsidR="00153DE0">
              <w:rPr>
                <w:rFonts w:cs="Open Sans"/>
              </w:rPr>
              <w:t xml:space="preserve"> a recruitment campaign targeted at </w:t>
            </w:r>
            <w:r w:rsidR="00681AA3">
              <w:rPr>
                <w:rFonts w:cs="Open Sans"/>
              </w:rPr>
              <w:t xml:space="preserve">unemployed or underemployed </w:t>
            </w:r>
            <w:r w:rsidR="00153DE0">
              <w:rPr>
                <w:rFonts w:cs="Open Sans"/>
              </w:rPr>
              <w:t>older workers</w:t>
            </w:r>
            <w:r>
              <w:rPr>
                <w:rFonts w:cs="Open Sans"/>
              </w:rPr>
              <w:t xml:space="preserve"> </w:t>
            </w:r>
            <w:r w:rsidR="002248A3" w:rsidRPr="001E07AD">
              <w:rPr>
                <w:rFonts w:cs="Open Sans"/>
              </w:rPr>
              <w:t>(an act intended to reduce disadvantage)</w:t>
            </w:r>
            <w:r w:rsidR="002248A3" w:rsidRPr="001E07AD">
              <w:rPr>
                <w:rStyle w:val="Rimandonotadichiusura"/>
                <w:rFonts w:ascii="Open Sans" w:hAnsi="Open Sans" w:cs="Open Sans"/>
                <w:sz w:val="24"/>
              </w:rPr>
              <w:t xml:space="preserve"> </w:t>
            </w:r>
            <w:r w:rsidR="00F76B76" w:rsidRPr="001E07AD">
              <w:rPr>
                <w:rFonts w:cs="Open Sans"/>
              </w:rPr>
              <w:t xml:space="preserve"> is likely to be a form of positive discrimination.</w:t>
            </w:r>
          </w:p>
        </w:tc>
      </w:tr>
    </w:tbl>
    <w:p w14:paraId="6409818E" w14:textId="626B74D9" w:rsidR="007C7614" w:rsidRDefault="00F76B76" w:rsidP="00C15B52">
      <w:pPr>
        <w:pStyle w:val="Titolo2"/>
      </w:pPr>
      <w:r>
        <w:t xml:space="preserve">3.2 </w:t>
      </w:r>
      <w:r w:rsidR="007C7614" w:rsidRPr="00C15B52">
        <w:t>Specific</w:t>
      </w:r>
      <w:r w:rsidR="007C7614">
        <w:t xml:space="preserve"> exemptions</w:t>
      </w:r>
    </w:p>
    <w:p w14:paraId="490C1AC1" w14:textId="1ACC5D9B" w:rsidR="00172558" w:rsidRDefault="00172558" w:rsidP="0000564C">
      <w:pPr>
        <w:rPr>
          <w:rFonts w:cs="Arial"/>
        </w:rPr>
      </w:pPr>
      <w:r>
        <w:rPr>
          <w:rFonts w:cs="Arial"/>
        </w:rPr>
        <w:t>There are two forms of specific exemption</w:t>
      </w:r>
      <w:r w:rsidR="000F280F">
        <w:rPr>
          <w:rFonts w:cs="Arial"/>
        </w:rPr>
        <w:t xml:space="preserve"> under the Act</w:t>
      </w:r>
      <w:r>
        <w:rPr>
          <w:rFonts w:cs="Arial"/>
        </w:rPr>
        <w:t>:</w:t>
      </w:r>
    </w:p>
    <w:p w14:paraId="59CA88AB" w14:textId="6121128A" w:rsidR="00172558" w:rsidRDefault="00172558" w:rsidP="00172558">
      <w:pPr>
        <w:pStyle w:val="Paragrafoelenco"/>
        <w:numPr>
          <w:ilvl w:val="0"/>
          <w:numId w:val="7"/>
        </w:numPr>
        <w:rPr>
          <w:rFonts w:cs="Arial"/>
        </w:rPr>
      </w:pPr>
      <w:r>
        <w:rPr>
          <w:rFonts w:cs="Arial"/>
        </w:rPr>
        <w:t>domestic duties</w:t>
      </w:r>
      <w:r w:rsidR="0031220C">
        <w:rPr>
          <w:rFonts w:cs="Arial"/>
        </w:rPr>
        <w:t>—</w:t>
      </w:r>
      <w:r w:rsidR="007A1C7A">
        <w:rPr>
          <w:rFonts w:cs="Arial"/>
        </w:rPr>
        <w:t xml:space="preserve">where </w:t>
      </w:r>
      <w:r w:rsidR="0031220C">
        <w:rPr>
          <w:rFonts w:cs="Arial"/>
        </w:rPr>
        <w:t>the job is based in the employer’s home</w:t>
      </w:r>
    </w:p>
    <w:p w14:paraId="37A3A5A4" w14:textId="12E186C5" w:rsidR="00172558" w:rsidRDefault="00172558" w:rsidP="00172558">
      <w:pPr>
        <w:pStyle w:val="Paragrafoelenco"/>
        <w:numPr>
          <w:ilvl w:val="0"/>
          <w:numId w:val="7"/>
        </w:numPr>
        <w:rPr>
          <w:rFonts w:cs="Arial"/>
        </w:rPr>
      </w:pPr>
      <w:r>
        <w:rPr>
          <w:rFonts w:cs="Arial"/>
        </w:rPr>
        <w:t>inherent requirements</w:t>
      </w:r>
      <w:r w:rsidR="0031220C">
        <w:rPr>
          <w:rFonts w:cs="Arial"/>
        </w:rPr>
        <w:t>—</w:t>
      </w:r>
      <w:r w:rsidR="007A1C7A">
        <w:rPr>
          <w:rFonts w:cs="Arial"/>
        </w:rPr>
        <w:t xml:space="preserve">where </w:t>
      </w:r>
      <w:r w:rsidR="0031220C">
        <w:rPr>
          <w:rFonts w:cs="Arial"/>
        </w:rPr>
        <w:t xml:space="preserve">the age of the person means that they are unable to carry out the ‘inherent requirements’ of </w:t>
      </w:r>
      <w:r w:rsidR="000F280F">
        <w:rPr>
          <w:rFonts w:cs="Arial"/>
        </w:rPr>
        <w:t>a</w:t>
      </w:r>
      <w:r w:rsidR="0031220C">
        <w:rPr>
          <w:rFonts w:cs="Arial"/>
        </w:rPr>
        <w:t xml:space="preserve"> role</w:t>
      </w:r>
      <w:r>
        <w:rPr>
          <w:rFonts w:cs="Arial"/>
        </w:rPr>
        <w:t>.</w:t>
      </w:r>
    </w:p>
    <w:p w14:paraId="627A215E" w14:textId="132D887A" w:rsidR="00E218D1" w:rsidRDefault="00E218D1" w:rsidP="00E218D1">
      <w:pPr>
        <w:rPr>
          <w:rFonts w:cs="Arial"/>
        </w:rPr>
      </w:pPr>
      <w:r>
        <w:rPr>
          <w:rFonts w:cs="Arial"/>
        </w:rPr>
        <w:t xml:space="preserve">Neither </w:t>
      </w:r>
      <w:r w:rsidRPr="00855D6C">
        <w:rPr>
          <w:rFonts w:cs="Arial"/>
        </w:rPr>
        <w:t xml:space="preserve">‘domestic duties’ </w:t>
      </w:r>
      <w:r>
        <w:rPr>
          <w:rFonts w:cs="Arial"/>
        </w:rPr>
        <w:t xml:space="preserve">nor ‘inherent requirements’ are defined in the Act. </w:t>
      </w:r>
      <w:r w:rsidRPr="00E218D1">
        <w:rPr>
          <w:rFonts w:cs="Open Sans"/>
        </w:rPr>
        <w:t xml:space="preserve">‘Inherent requirements’ can be understood as </w:t>
      </w:r>
      <w:r w:rsidR="00614E20">
        <w:rPr>
          <w:rFonts w:cs="Open Sans"/>
        </w:rPr>
        <w:t>something essential to the position</w:t>
      </w:r>
      <w:r w:rsidRPr="001E07AD">
        <w:rPr>
          <w:rFonts w:cs="Open Sans"/>
        </w:rPr>
        <w:t>.</w:t>
      </w:r>
    </w:p>
    <w:p w14:paraId="56A66710" w14:textId="31F34500" w:rsidR="007C7614" w:rsidRDefault="0031220C" w:rsidP="0000564C">
      <w:pPr>
        <w:rPr>
          <w:rFonts w:cs="Arial"/>
          <w:b/>
        </w:rPr>
      </w:pPr>
      <w:r>
        <w:rPr>
          <w:rFonts w:cs="Arial"/>
        </w:rPr>
        <w:t xml:space="preserve">These exemptions are work </w:t>
      </w:r>
      <w:r w:rsidR="00E218D1">
        <w:rPr>
          <w:rFonts w:cs="Arial"/>
        </w:rPr>
        <w:t xml:space="preserve">relationship </w:t>
      </w:r>
      <w:r>
        <w:rPr>
          <w:rFonts w:cs="Arial"/>
        </w:rPr>
        <w:t>specific</w:t>
      </w:r>
      <w:r w:rsidR="007A1C7A">
        <w:rPr>
          <w:rFonts w:cs="Arial"/>
        </w:rPr>
        <w:t xml:space="preserve">—for example, their operation will depend on whether the </w:t>
      </w:r>
      <w:r w:rsidR="00E218D1">
        <w:rPr>
          <w:rFonts w:cs="Arial"/>
        </w:rPr>
        <w:t>relationship is one of</w:t>
      </w:r>
      <w:r w:rsidR="007A1C7A">
        <w:rPr>
          <w:rFonts w:cs="Arial"/>
        </w:rPr>
        <w:t xml:space="preserve"> employment, partnership, engagement as a contract worker or commission agent, or </w:t>
      </w:r>
      <w:r w:rsidR="00930CCD">
        <w:rPr>
          <w:rFonts w:cs="Arial"/>
        </w:rPr>
        <w:t xml:space="preserve">through </w:t>
      </w:r>
      <w:r w:rsidR="007A1C7A">
        <w:rPr>
          <w:rFonts w:cs="Arial"/>
        </w:rPr>
        <w:t>an employment agency.</w:t>
      </w:r>
    </w:p>
    <w:p w14:paraId="27525AFD" w14:textId="62A26EAC" w:rsidR="0000564C" w:rsidRDefault="00F76B76" w:rsidP="00C15B52">
      <w:pPr>
        <w:pStyle w:val="Titolo2"/>
      </w:pPr>
      <w:r>
        <w:lastRenderedPageBreak/>
        <w:t xml:space="preserve">3.3 </w:t>
      </w:r>
      <w:r w:rsidR="0000564C">
        <w:t xml:space="preserve">General </w:t>
      </w:r>
      <w:r w:rsidR="0000564C" w:rsidRPr="00C15B52">
        <w:t>exemptions</w:t>
      </w:r>
    </w:p>
    <w:p w14:paraId="55B9BA70" w14:textId="6B147D8B" w:rsidR="00EC6640" w:rsidRDefault="00EC6640" w:rsidP="0000564C">
      <w:pPr>
        <w:rPr>
          <w:rFonts w:cs="Open Sans"/>
        </w:rPr>
      </w:pPr>
      <w:r>
        <w:rPr>
          <w:rFonts w:cs="Arial"/>
        </w:rPr>
        <w:t>There are a number of general exemptions to the core anti-discrimination provisions of the Act. Depending on the circumstances these may be relevant in a workplace context.</w:t>
      </w:r>
    </w:p>
    <w:p w14:paraId="1F1B60F4" w14:textId="22475581" w:rsidR="0000564C" w:rsidRPr="000D4EF8" w:rsidRDefault="00105197" w:rsidP="0000564C">
      <w:pPr>
        <w:rPr>
          <w:rFonts w:cs="Open Sans"/>
        </w:rPr>
      </w:pPr>
      <w:r w:rsidRPr="000D4EF8">
        <w:rPr>
          <w:rFonts w:cs="Open Sans"/>
        </w:rPr>
        <w:t>The</w:t>
      </w:r>
      <w:r w:rsidR="00EC6640">
        <w:rPr>
          <w:rFonts w:cs="Open Sans"/>
        </w:rPr>
        <w:t xml:space="preserve"> general exemptions</w:t>
      </w:r>
      <w:r w:rsidRPr="000D4EF8">
        <w:rPr>
          <w:rFonts w:cs="Open Sans"/>
        </w:rPr>
        <w:t xml:space="preserve"> relate to:</w:t>
      </w:r>
    </w:p>
    <w:p w14:paraId="5DD0F884" w14:textId="07F1B4A4" w:rsidR="00105197" w:rsidRPr="000F280F" w:rsidRDefault="00105197" w:rsidP="00105197">
      <w:pPr>
        <w:pStyle w:val="Paragrafoelenco"/>
        <w:numPr>
          <w:ilvl w:val="0"/>
          <w:numId w:val="8"/>
        </w:numPr>
        <w:jc w:val="both"/>
        <w:rPr>
          <w:rFonts w:cs="Open Sans"/>
        </w:rPr>
      </w:pPr>
      <w:r w:rsidRPr="000F280F">
        <w:rPr>
          <w:rFonts w:cs="Open Sans"/>
        </w:rPr>
        <w:t>charities, religious and voluntary bodies</w:t>
      </w:r>
    </w:p>
    <w:p w14:paraId="34DAD49E" w14:textId="5EABB192" w:rsidR="00105197" w:rsidRPr="000F280F" w:rsidRDefault="00105197" w:rsidP="00105197">
      <w:pPr>
        <w:pStyle w:val="Paragrafoelenco"/>
        <w:numPr>
          <w:ilvl w:val="0"/>
          <w:numId w:val="8"/>
        </w:numPr>
        <w:jc w:val="both"/>
        <w:rPr>
          <w:rFonts w:cs="Open Sans"/>
        </w:rPr>
      </w:pPr>
      <w:r w:rsidRPr="000F280F">
        <w:rPr>
          <w:rFonts w:cs="Open Sans"/>
        </w:rPr>
        <w:t>superannuation, insurance and credit</w:t>
      </w:r>
    </w:p>
    <w:p w14:paraId="4A1B841E" w14:textId="409E696A" w:rsidR="00105197" w:rsidRPr="000F280F" w:rsidRDefault="00105197" w:rsidP="00105197">
      <w:pPr>
        <w:pStyle w:val="Paragrafoelenco"/>
        <w:numPr>
          <w:ilvl w:val="0"/>
          <w:numId w:val="8"/>
        </w:numPr>
        <w:jc w:val="both"/>
        <w:rPr>
          <w:rFonts w:cs="Open Sans"/>
        </w:rPr>
      </w:pPr>
      <w:r w:rsidRPr="000F280F">
        <w:rPr>
          <w:rFonts w:cs="Open Sans"/>
        </w:rPr>
        <w:t>health</w:t>
      </w:r>
    </w:p>
    <w:p w14:paraId="1CA8611F" w14:textId="4DC60443" w:rsidR="00105197" w:rsidRPr="000F280F" w:rsidRDefault="00105197" w:rsidP="00105197">
      <w:pPr>
        <w:pStyle w:val="Paragrafoelenco"/>
        <w:numPr>
          <w:ilvl w:val="0"/>
          <w:numId w:val="8"/>
        </w:numPr>
        <w:jc w:val="both"/>
        <w:rPr>
          <w:rFonts w:cs="Open Sans"/>
        </w:rPr>
      </w:pPr>
      <w:r w:rsidRPr="000F280F">
        <w:rPr>
          <w:rFonts w:cs="Open Sans"/>
        </w:rPr>
        <w:t>direct compliance with</w:t>
      </w:r>
      <w:r w:rsidR="00930CCD">
        <w:rPr>
          <w:rFonts w:cs="Open Sans"/>
        </w:rPr>
        <w:t xml:space="preserve"> the</w:t>
      </w:r>
      <w:r w:rsidRPr="000F280F">
        <w:rPr>
          <w:rFonts w:cs="Open Sans"/>
        </w:rPr>
        <w:t xml:space="preserve"> law, </w:t>
      </w:r>
      <w:r w:rsidR="00930CCD">
        <w:rPr>
          <w:rFonts w:cs="Open Sans"/>
        </w:rPr>
        <w:t>a court order</w:t>
      </w:r>
      <w:r w:rsidRPr="000F280F">
        <w:rPr>
          <w:rFonts w:cs="Open Sans"/>
        </w:rPr>
        <w:t>,</w:t>
      </w:r>
      <w:r w:rsidR="00930CCD">
        <w:rPr>
          <w:rFonts w:cs="Open Sans"/>
        </w:rPr>
        <w:t xml:space="preserve"> or</w:t>
      </w:r>
      <w:r w:rsidRPr="000F280F">
        <w:rPr>
          <w:rFonts w:cs="Open Sans"/>
        </w:rPr>
        <w:t xml:space="preserve"> taxation and social security legislation</w:t>
      </w:r>
    </w:p>
    <w:p w14:paraId="02A29D29" w14:textId="10A3C484" w:rsidR="00105197" w:rsidRPr="000F280F" w:rsidRDefault="00105197" w:rsidP="00105197">
      <w:pPr>
        <w:pStyle w:val="Paragrafoelenco"/>
        <w:numPr>
          <w:ilvl w:val="0"/>
          <w:numId w:val="8"/>
        </w:numPr>
        <w:jc w:val="both"/>
        <w:rPr>
          <w:rFonts w:cs="Open Sans"/>
        </w:rPr>
      </w:pPr>
      <w:r w:rsidRPr="000F280F">
        <w:rPr>
          <w:rFonts w:cs="Open Sans"/>
        </w:rPr>
        <w:t>targeted Commonwealth employment programs</w:t>
      </w:r>
    </w:p>
    <w:p w14:paraId="3373D888" w14:textId="75B6C83A" w:rsidR="00105197" w:rsidRPr="000F280F" w:rsidRDefault="00105197" w:rsidP="00105197">
      <w:pPr>
        <w:pStyle w:val="Paragrafoelenco"/>
        <w:numPr>
          <w:ilvl w:val="0"/>
          <w:numId w:val="8"/>
        </w:numPr>
        <w:jc w:val="both"/>
        <w:rPr>
          <w:rFonts w:cs="Open Sans"/>
        </w:rPr>
      </w:pPr>
      <w:r w:rsidRPr="000F280F">
        <w:rPr>
          <w:rFonts w:cs="Open Sans"/>
        </w:rPr>
        <w:t>administration of migration and citizenship laws</w:t>
      </w:r>
    </w:p>
    <w:p w14:paraId="22293F51" w14:textId="168A2320" w:rsidR="00105197" w:rsidRDefault="00105197" w:rsidP="002845B8">
      <w:pPr>
        <w:pStyle w:val="Paragrafoelenco"/>
        <w:numPr>
          <w:ilvl w:val="0"/>
          <w:numId w:val="8"/>
        </w:numPr>
        <w:spacing w:after="360"/>
        <w:ind w:left="714" w:hanging="357"/>
        <w:jc w:val="both"/>
        <w:rPr>
          <w:rFonts w:cs="Open Sans"/>
        </w:rPr>
      </w:pPr>
      <w:r w:rsidRPr="000F280F">
        <w:rPr>
          <w:rFonts w:cs="Open Sans"/>
        </w:rPr>
        <w:t>youth wages.</w:t>
      </w:r>
    </w:p>
    <w:tbl>
      <w:tblPr>
        <w:tblStyle w:val="Grigliatabella"/>
        <w:tblW w:w="0" w:type="auto"/>
        <w:tblInd w:w="0" w:type="dxa"/>
        <w:shd w:val="clear" w:color="auto" w:fill="BDD6EE" w:themeFill="accent5" w:themeFillTint="66"/>
        <w:tblLook w:val="04A0" w:firstRow="1" w:lastRow="0" w:firstColumn="1" w:lastColumn="0" w:noHBand="0" w:noVBand="1"/>
      </w:tblPr>
      <w:tblGrid>
        <w:gridCol w:w="1206"/>
        <w:gridCol w:w="8144"/>
      </w:tblGrid>
      <w:tr w:rsidR="007A1C7A" w14:paraId="5735EAAC" w14:textId="77777777" w:rsidTr="004A38D6">
        <w:tc>
          <w:tcPr>
            <w:tcW w:w="988" w:type="dxa"/>
            <w:tcBorders>
              <w:right w:val="nil"/>
            </w:tcBorders>
            <w:shd w:val="clear" w:color="auto" w:fill="BDD6EE" w:themeFill="accent5" w:themeFillTint="66"/>
          </w:tcPr>
          <w:p w14:paraId="07344602" w14:textId="362EBE3D" w:rsidR="007A1C7A" w:rsidRDefault="007A1C7A" w:rsidP="00092481">
            <w:r>
              <w:rPr>
                <w:noProof/>
              </w:rPr>
              <w:drawing>
                <wp:inline distT="0" distB="0" distL="0" distR="0" wp14:anchorId="4A78B31B" wp14:editId="67505A60">
                  <wp:extent cx="628650" cy="628650"/>
                  <wp:effectExtent l="0" t="0" r="0" b="0"/>
                  <wp:docPr id="7" name="Graphic 2"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28650" cy="628650"/>
                          </a:xfrm>
                          <a:prstGeom prst="rect">
                            <a:avLst/>
                          </a:prstGeom>
                        </pic:spPr>
                      </pic:pic>
                    </a:graphicData>
                  </a:graphic>
                </wp:inline>
              </w:drawing>
            </w:r>
          </w:p>
        </w:tc>
        <w:tc>
          <w:tcPr>
            <w:tcW w:w="8362" w:type="dxa"/>
            <w:tcBorders>
              <w:left w:val="nil"/>
            </w:tcBorders>
            <w:shd w:val="clear" w:color="auto" w:fill="BDD6EE" w:themeFill="accent5" w:themeFillTint="66"/>
          </w:tcPr>
          <w:p w14:paraId="7B6E72C5" w14:textId="6D2E981A" w:rsidR="007A1C7A" w:rsidRDefault="000F2A9F" w:rsidP="00E218D1">
            <w:r>
              <w:rPr>
                <w:rFonts w:cs="Arial"/>
              </w:rPr>
              <w:t>For example, a</w:t>
            </w:r>
            <w:r w:rsidR="00E218D1">
              <w:rPr>
                <w:rFonts w:cs="Arial"/>
              </w:rPr>
              <w:t>n employer could</w:t>
            </w:r>
            <w:r w:rsidR="00195B39">
              <w:rPr>
                <w:rFonts w:cs="Arial"/>
              </w:rPr>
              <w:t xml:space="preserve"> facilitate the provision of free</w:t>
            </w:r>
            <w:r w:rsidR="00E218D1">
              <w:rPr>
                <w:rFonts w:cs="Arial"/>
              </w:rPr>
              <w:t xml:space="preserve"> flu</w:t>
            </w:r>
            <w:r w:rsidR="00195B39">
              <w:rPr>
                <w:rFonts w:cs="Arial"/>
              </w:rPr>
              <w:t xml:space="preserve"> vaccinations for employees over a certain age</w:t>
            </w:r>
            <w:r w:rsidR="00E218D1">
              <w:rPr>
                <w:rFonts w:cs="Arial"/>
              </w:rPr>
              <w:t xml:space="preserve"> only,</w:t>
            </w:r>
            <w:r w:rsidR="00195B39">
              <w:rPr>
                <w:rFonts w:cs="Arial"/>
              </w:rPr>
              <w:t xml:space="preserve"> where the vaccin</w:t>
            </w:r>
            <w:r w:rsidR="00345011">
              <w:rPr>
                <w:rFonts w:cs="Arial"/>
              </w:rPr>
              <w:t>ation</w:t>
            </w:r>
            <w:r w:rsidR="00195B39">
              <w:rPr>
                <w:rFonts w:cs="Arial"/>
              </w:rPr>
              <w:t xml:space="preserve"> is part of an ‘</w:t>
            </w:r>
            <w:hyperlink r:id="rId31" w:history="1">
              <w:r w:rsidR="00195B39" w:rsidRPr="00195B39">
                <w:rPr>
                  <w:rStyle w:val="Collegamentoipertestuale"/>
                  <w:rFonts w:cs="Arial"/>
                </w:rPr>
                <w:t>exempt</w:t>
              </w:r>
              <w:r w:rsidR="00FF6A24">
                <w:rPr>
                  <w:rStyle w:val="Collegamentoipertestuale"/>
                  <w:rFonts w:cs="Arial"/>
                </w:rPr>
                <w:t>ed</w:t>
              </w:r>
              <w:r w:rsidR="00195B39" w:rsidRPr="00195B39">
                <w:rPr>
                  <w:rStyle w:val="Collegamentoipertestuale"/>
                  <w:rFonts w:cs="Arial"/>
                </w:rPr>
                <w:t xml:space="preserve"> health program</w:t>
              </w:r>
            </w:hyperlink>
            <w:r w:rsidR="00195B39">
              <w:rPr>
                <w:rFonts w:cs="Arial"/>
              </w:rPr>
              <w:t>’</w:t>
            </w:r>
            <w:r w:rsidR="00E218D1">
              <w:rPr>
                <w:rFonts w:cs="Arial"/>
              </w:rPr>
              <w:t>, without unlawfully discriminating against younger employees.</w:t>
            </w:r>
          </w:p>
        </w:tc>
      </w:tr>
    </w:tbl>
    <w:p w14:paraId="33992BD7" w14:textId="63B79D36" w:rsidR="00863FD4" w:rsidRPr="000F280F" w:rsidRDefault="00F76B76" w:rsidP="00C15B52">
      <w:pPr>
        <w:pStyle w:val="Titolo2"/>
      </w:pPr>
      <w:r>
        <w:t xml:space="preserve">3.4 </w:t>
      </w:r>
      <w:r w:rsidR="00863FD4" w:rsidRPr="000D4EF8">
        <w:t>Temporary exemptions</w:t>
      </w:r>
    </w:p>
    <w:p w14:paraId="137C5E2F" w14:textId="4C9ECAC6" w:rsidR="00A70A05" w:rsidRPr="000F280F" w:rsidRDefault="00863FD4" w:rsidP="002845B8">
      <w:pPr>
        <w:spacing w:after="360"/>
        <w:rPr>
          <w:rFonts w:cs="Open Sans"/>
        </w:rPr>
      </w:pPr>
      <w:r w:rsidRPr="000F280F">
        <w:rPr>
          <w:rFonts w:cs="Open Sans"/>
        </w:rPr>
        <w:t xml:space="preserve">An organisation may </w:t>
      </w:r>
      <w:r w:rsidR="00767786">
        <w:rPr>
          <w:rFonts w:cs="Open Sans"/>
        </w:rPr>
        <w:t xml:space="preserve">also </w:t>
      </w:r>
      <w:r w:rsidRPr="000F280F">
        <w:rPr>
          <w:rFonts w:cs="Open Sans"/>
        </w:rPr>
        <w:t xml:space="preserve">apply to the </w:t>
      </w:r>
      <w:r w:rsidR="00681AA3">
        <w:rPr>
          <w:rFonts w:cs="Open Sans"/>
        </w:rPr>
        <w:t xml:space="preserve">Australian Human Rights </w:t>
      </w:r>
      <w:r w:rsidRPr="000F280F">
        <w:rPr>
          <w:rFonts w:cs="Open Sans"/>
        </w:rPr>
        <w:t xml:space="preserve">Commission </w:t>
      </w:r>
      <w:r w:rsidR="00930CCD">
        <w:rPr>
          <w:rFonts w:cs="Open Sans"/>
        </w:rPr>
        <w:t xml:space="preserve">(the Commission) </w:t>
      </w:r>
      <w:r w:rsidRPr="000F280F">
        <w:rPr>
          <w:rFonts w:cs="Open Sans"/>
        </w:rPr>
        <w:t>for a temporary exemption</w:t>
      </w:r>
      <w:r>
        <w:rPr>
          <w:rFonts w:cs="Open Sans"/>
        </w:rPr>
        <w:t xml:space="preserve"> for up to five years</w:t>
      </w:r>
      <w:r w:rsidRPr="000F280F">
        <w:rPr>
          <w:rFonts w:cs="Open Sans"/>
        </w:rPr>
        <w:t>. Given the other general exemptions that already exist in the Act, the Commission grants temporary exemptions sparingly.</w:t>
      </w:r>
    </w:p>
    <w:tbl>
      <w:tblPr>
        <w:tblStyle w:val="Grigliatabella"/>
        <w:tblW w:w="0" w:type="auto"/>
        <w:tblInd w:w="0" w:type="dxa"/>
        <w:shd w:val="clear" w:color="auto" w:fill="E7E6E6" w:themeFill="background2"/>
        <w:tblLook w:val="04A0" w:firstRow="1" w:lastRow="0" w:firstColumn="1" w:lastColumn="0" w:noHBand="0" w:noVBand="1"/>
      </w:tblPr>
      <w:tblGrid>
        <w:gridCol w:w="1349"/>
        <w:gridCol w:w="8001"/>
      </w:tblGrid>
      <w:tr w:rsidR="007C2407" w14:paraId="6062B51C" w14:textId="77777777" w:rsidTr="005E574C">
        <w:trPr>
          <w:trHeight w:val="1215"/>
        </w:trPr>
        <w:tc>
          <w:tcPr>
            <w:tcW w:w="1129" w:type="dxa"/>
            <w:tcBorders>
              <w:right w:val="nil"/>
            </w:tcBorders>
            <w:shd w:val="clear" w:color="auto" w:fill="E7E6E6" w:themeFill="background2"/>
            <w:vAlign w:val="center"/>
          </w:tcPr>
          <w:p w14:paraId="715BA870" w14:textId="2C55C03D" w:rsidR="007C2407" w:rsidRDefault="007C2407" w:rsidP="005E574C">
            <w:r>
              <w:rPr>
                <w:noProof/>
              </w:rPr>
              <w:drawing>
                <wp:inline distT="0" distB="0" distL="0" distR="0" wp14:anchorId="45CACFEF" wp14:editId="6DCD4729">
                  <wp:extent cx="720000" cy="720000"/>
                  <wp:effectExtent l="0" t="0" r="0" b="0"/>
                  <wp:docPr id="4" name="Graphic 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0000" cy="720000"/>
                          </a:xfrm>
                          <a:prstGeom prst="rect">
                            <a:avLst/>
                          </a:prstGeom>
                        </pic:spPr>
                      </pic:pic>
                    </a:graphicData>
                  </a:graphic>
                </wp:inline>
              </w:drawing>
            </w:r>
          </w:p>
        </w:tc>
        <w:tc>
          <w:tcPr>
            <w:tcW w:w="8221" w:type="dxa"/>
            <w:tcBorders>
              <w:left w:val="nil"/>
            </w:tcBorders>
            <w:shd w:val="clear" w:color="auto" w:fill="E7E6E6" w:themeFill="background2"/>
            <w:vAlign w:val="center"/>
          </w:tcPr>
          <w:p w14:paraId="6459B431" w14:textId="5A469670" w:rsidR="007C2407" w:rsidRDefault="007C2407" w:rsidP="005E574C">
            <w:r w:rsidRPr="002E7F36">
              <w:rPr>
                <w:rFonts w:cs="Open Sans"/>
              </w:rPr>
              <w:t>The Commission has published</w:t>
            </w:r>
            <w:hyperlink r:id="rId32" w:history="1">
              <w:r w:rsidRPr="002E7F36">
                <w:rPr>
                  <w:rStyle w:val="Collegamentoipertestuale"/>
                  <w:rFonts w:cs="Open Sans"/>
                </w:rPr>
                <w:t xml:space="preserve"> guidelines</w:t>
              </w:r>
            </w:hyperlink>
            <w:r w:rsidRPr="002E7F36">
              <w:rPr>
                <w:rFonts w:cs="Open Sans"/>
              </w:rPr>
              <w:t xml:space="preserve"> about how it assesses applications for temporary exemptions under the Act</w:t>
            </w:r>
            <w:r>
              <w:rPr>
                <w:rFonts w:cs="Open Sans"/>
              </w:rPr>
              <w:t>.</w:t>
            </w:r>
          </w:p>
        </w:tc>
      </w:tr>
    </w:tbl>
    <w:p w14:paraId="3437B422" w14:textId="7C8336EB" w:rsidR="00863FD4" w:rsidRPr="000F280F" w:rsidRDefault="00863FD4" w:rsidP="00C15B52">
      <w:pPr>
        <w:pStyle w:val="Titolo1"/>
      </w:pPr>
      <w:r w:rsidRPr="000F280F">
        <w:lastRenderedPageBreak/>
        <w:t>Who is responsible for unlawful discrimination?</w:t>
      </w:r>
    </w:p>
    <w:p w14:paraId="216A5360" w14:textId="1B085058" w:rsidR="002C4F47" w:rsidRPr="000F280F" w:rsidRDefault="002C4F47" w:rsidP="002C4F47">
      <w:pPr>
        <w:rPr>
          <w:rFonts w:cs="Open Sans"/>
        </w:rPr>
      </w:pPr>
      <w:r w:rsidRPr="000F280F">
        <w:rPr>
          <w:rFonts w:cs="Open Sans"/>
        </w:rPr>
        <w:t>Legal responsibility—</w:t>
      </w:r>
      <w:r w:rsidR="00D317CD">
        <w:rPr>
          <w:rFonts w:cs="Open Sans"/>
        </w:rPr>
        <w:t>or</w:t>
      </w:r>
      <w:r w:rsidRPr="000F280F">
        <w:rPr>
          <w:rFonts w:cs="Open Sans"/>
        </w:rPr>
        <w:t xml:space="preserve"> liability—determines who has to pay compensation or take other actions because of a finding of unlawful discrimination.</w:t>
      </w:r>
    </w:p>
    <w:p w14:paraId="28B72ADA" w14:textId="61D9150C" w:rsidR="002C4F47" w:rsidRPr="000F280F" w:rsidRDefault="002C4F47" w:rsidP="002C4F47">
      <w:pPr>
        <w:rPr>
          <w:rFonts w:cs="Open Sans"/>
        </w:rPr>
      </w:pPr>
      <w:r w:rsidRPr="000F280F">
        <w:rPr>
          <w:rFonts w:cs="Open Sans"/>
        </w:rPr>
        <w:t>Both an individual</w:t>
      </w:r>
      <w:r w:rsidR="00D317CD">
        <w:rPr>
          <w:rFonts w:cs="Open Sans"/>
        </w:rPr>
        <w:t>,</w:t>
      </w:r>
      <w:r w:rsidRPr="000F280F">
        <w:rPr>
          <w:rFonts w:cs="Open Sans"/>
        </w:rPr>
        <w:t xml:space="preserve"> or organisation</w:t>
      </w:r>
      <w:r w:rsidR="00D317CD">
        <w:rPr>
          <w:rFonts w:cs="Open Sans"/>
        </w:rPr>
        <w:t>,</w:t>
      </w:r>
      <w:r w:rsidRPr="000F280F">
        <w:rPr>
          <w:rFonts w:cs="Open Sans"/>
        </w:rPr>
        <w:t xml:space="preserve"> that discriminates against an individual, and a person who ‘causes, instructs, induces, aids or permits’ another person to </w:t>
      </w:r>
      <w:r w:rsidR="00D317CD">
        <w:rPr>
          <w:rFonts w:cs="Open Sans"/>
        </w:rPr>
        <w:t xml:space="preserve">unlawfully discriminate </w:t>
      </w:r>
      <w:r w:rsidRPr="000F280F">
        <w:rPr>
          <w:rFonts w:cs="Open Sans"/>
        </w:rPr>
        <w:t>can be held liable under the Act.</w:t>
      </w:r>
    </w:p>
    <w:p w14:paraId="0116279E" w14:textId="6E3A2139" w:rsidR="001B120D" w:rsidRPr="000F280F" w:rsidRDefault="00D317CD" w:rsidP="000F280F">
      <w:pPr>
        <w:rPr>
          <w:rFonts w:cs="Open Sans"/>
          <w:i/>
        </w:rPr>
      </w:pPr>
      <w:r>
        <w:rPr>
          <w:rFonts w:cs="Open Sans"/>
        </w:rPr>
        <w:t xml:space="preserve">An </w:t>
      </w:r>
      <w:r w:rsidR="002C4F47" w:rsidRPr="000F280F">
        <w:rPr>
          <w:rFonts w:cs="Open Sans"/>
        </w:rPr>
        <w:t>employer</w:t>
      </w:r>
      <w:r w:rsidR="008D579D">
        <w:rPr>
          <w:rFonts w:cs="Open Sans"/>
        </w:rPr>
        <w:t xml:space="preserve"> or other work provider</w:t>
      </w:r>
      <w:r w:rsidR="002C4F47" w:rsidRPr="000F280F">
        <w:rPr>
          <w:rFonts w:cs="Open Sans"/>
        </w:rPr>
        <w:t xml:space="preserve"> can </w:t>
      </w:r>
      <w:r>
        <w:rPr>
          <w:rFonts w:cs="Open Sans"/>
        </w:rPr>
        <w:t xml:space="preserve">also </w:t>
      </w:r>
      <w:r w:rsidR="002C4F47" w:rsidRPr="000F280F">
        <w:rPr>
          <w:rFonts w:cs="Open Sans"/>
        </w:rPr>
        <w:t xml:space="preserve">be vicariously liable for the actions of employees or agents where these amount to unlawful discrimination, or an unlawful request for information, unless they have taken reasonable precautions or conducted due diligence to prevent </w:t>
      </w:r>
      <w:r w:rsidR="002C4F47" w:rsidRPr="00E218D1">
        <w:rPr>
          <w:rFonts w:cs="Open Sans"/>
        </w:rPr>
        <w:t>discrimination on the basis of age.</w:t>
      </w:r>
    </w:p>
    <w:p w14:paraId="1BD59978" w14:textId="77777777" w:rsidR="00767786" w:rsidRPr="000F280F" w:rsidRDefault="00767786" w:rsidP="00C15B52">
      <w:pPr>
        <w:pStyle w:val="Titolo1"/>
        <w:rPr>
          <w:lang w:val="en"/>
        </w:rPr>
      </w:pPr>
      <w:r w:rsidRPr="000F280F">
        <w:rPr>
          <w:lang w:val="en"/>
        </w:rPr>
        <w:t>Further information</w:t>
      </w:r>
    </w:p>
    <w:p w14:paraId="646B7AA4" w14:textId="4251E06F" w:rsidR="00D05DC5" w:rsidRDefault="00767786" w:rsidP="007A1C7A">
      <w:pPr>
        <w:rPr>
          <w:rFonts w:cs="Open Sans"/>
          <w:lang w:val="en"/>
        </w:rPr>
      </w:pPr>
      <w:r w:rsidRPr="000F280F">
        <w:rPr>
          <w:rFonts w:cs="Open Sans"/>
          <w:lang w:val="en"/>
        </w:rPr>
        <w:t>For more detailed information on the Act</w:t>
      </w:r>
      <w:r w:rsidR="00D317CD">
        <w:rPr>
          <w:rFonts w:cs="Open Sans"/>
          <w:lang w:val="en"/>
        </w:rPr>
        <w:t xml:space="preserve">, definitions of the terms referred to in this </w:t>
      </w:r>
      <w:r w:rsidR="00F27E3C">
        <w:rPr>
          <w:rFonts w:cs="Open Sans"/>
          <w:lang w:val="en"/>
        </w:rPr>
        <w:t>f</w:t>
      </w:r>
      <w:r w:rsidR="00D317CD">
        <w:rPr>
          <w:rFonts w:cs="Open Sans"/>
          <w:lang w:val="en"/>
        </w:rPr>
        <w:t>actsheet,</w:t>
      </w:r>
      <w:r w:rsidRPr="000F280F">
        <w:rPr>
          <w:rFonts w:cs="Open Sans"/>
          <w:lang w:val="en"/>
        </w:rPr>
        <w:t xml:space="preserve"> and how to promote the inclusion of older workers in a multigenerational workplace see </w:t>
      </w:r>
      <w:hyperlink r:id="rId33" w:history="1">
        <w:r w:rsidR="00F74FB4" w:rsidRPr="00F74FB4">
          <w:rPr>
            <w:rStyle w:val="Collegamentoipertestuale"/>
            <w:rFonts w:cs="Open Sans"/>
            <w:i/>
            <w:lang w:val="en"/>
          </w:rPr>
          <w:t>Multigenerational workforces: a guide to the rights of older workers under the Age Discrimination Act 2004</w:t>
        </w:r>
        <w:r w:rsidR="00F74FB4" w:rsidRPr="00F74FB4">
          <w:rPr>
            <w:rStyle w:val="Collegamentoipertestuale"/>
            <w:rFonts w:cs="Open Sans"/>
            <w:lang w:val="en"/>
          </w:rPr>
          <w:t xml:space="preserve"> (</w:t>
        </w:r>
        <w:proofErr w:type="spellStart"/>
        <w:r w:rsidR="00F74FB4" w:rsidRPr="00F74FB4">
          <w:rPr>
            <w:rStyle w:val="Collegamentoipertestuale"/>
            <w:rFonts w:cs="Open Sans"/>
            <w:lang w:val="en"/>
          </w:rPr>
          <w:t>Cth</w:t>
        </w:r>
        <w:proofErr w:type="spellEnd"/>
        <w:r w:rsidR="00F74FB4" w:rsidRPr="00F74FB4">
          <w:rPr>
            <w:rStyle w:val="Collegamentoipertestuale"/>
            <w:rFonts w:cs="Open Sans"/>
            <w:lang w:val="en"/>
          </w:rPr>
          <w:t>)</w:t>
        </w:r>
      </w:hyperlink>
      <w:r w:rsidRPr="000F280F">
        <w:rPr>
          <w:rFonts w:cs="Open Sans"/>
          <w:lang w:val="en"/>
        </w:rPr>
        <w:t xml:space="preserve"> or visit the Commission’s </w:t>
      </w:r>
      <w:hyperlink r:id="rId34" w:history="1">
        <w:r w:rsidRPr="000F280F">
          <w:rPr>
            <w:rStyle w:val="Collegamentoipertestuale"/>
            <w:rFonts w:cs="Open Sans"/>
            <w:lang w:val="en"/>
          </w:rPr>
          <w:t>Age Discrimination page</w:t>
        </w:r>
      </w:hyperlink>
      <w:r w:rsidRPr="000F280F">
        <w:rPr>
          <w:rFonts w:cs="Open Sans"/>
          <w:lang w:val="en"/>
        </w:rPr>
        <w:t>.</w:t>
      </w:r>
    </w:p>
    <w:p w14:paraId="5A1BE035" w14:textId="7A7541F1" w:rsidR="00071913" w:rsidRDefault="00071913" w:rsidP="007A1C7A">
      <w:pPr>
        <w:rPr>
          <w:rFonts w:cs="Open Sans"/>
          <w:lang w:val="en"/>
        </w:rPr>
      </w:pPr>
    </w:p>
    <w:p w14:paraId="7F6FC1F1" w14:textId="458B5F07" w:rsidR="00071913" w:rsidRDefault="00071913" w:rsidP="007A1C7A">
      <w:pPr>
        <w:rPr>
          <w:rFonts w:cs="Open Sans"/>
          <w:lang w:val="en"/>
        </w:rPr>
      </w:pPr>
    </w:p>
    <w:p w14:paraId="0EC9712E" w14:textId="0B5CB6EC" w:rsidR="00071913" w:rsidRDefault="00071913" w:rsidP="007A1C7A">
      <w:pPr>
        <w:rPr>
          <w:rFonts w:cs="Open Sans"/>
          <w:lang w:val="en"/>
        </w:rPr>
      </w:pPr>
    </w:p>
    <w:p w14:paraId="7EE233C7" w14:textId="46E95466" w:rsidR="00071913" w:rsidRDefault="00071913" w:rsidP="007A1C7A">
      <w:pPr>
        <w:rPr>
          <w:rFonts w:cs="Open Sans"/>
          <w:lang w:val="en"/>
        </w:rPr>
      </w:pPr>
    </w:p>
    <w:p w14:paraId="0057B7AF" w14:textId="402E53E5" w:rsidR="00071913" w:rsidRDefault="00071913" w:rsidP="007A1C7A">
      <w:pPr>
        <w:rPr>
          <w:rFonts w:cs="Open Sans"/>
          <w:lang w:val="en"/>
        </w:rPr>
      </w:pPr>
    </w:p>
    <w:p w14:paraId="4C554F2F" w14:textId="7AFA91DC" w:rsidR="00071913" w:rsidRDefault="00071913" w:rsidP="007A1C7A">
      <w:pPr>
        <w:rPr>
          <w:rFonts w:cs="Open Sans"/>
          <w:lang w:val="en"/>
        </w:rPr>
      </w:pPr>
    </w:p>
    <w:p w14:paraId="2599A5ED" w14:textId="77777777" w:rsidR="00071913" w:rsidRDefault="00071913" w:rsidP="007A1C7A">
      <w:pPr>
        <w:rPr>
          <w:rFonts w:cs="Open Sans"/>
          <w:lang w:val="en"/>
        </w:rPr>
      </w:pPr>
    </w:p>
    <w:p w14:paraId="4F7B8EF6" w14:textId="4701640B" w:rsidR="00071913" w:rsidRPr="00071913" w:rsidRDefault="00A31517" w:rsidP="00071913">
      <w:hyperlink r:id="rId35" w:history="1">
        <w:r w:rsidR="00071913" w:rsidRPr="00071913">
          <w:rPr>
            <w:rStyle w:val="Collegamentoipertestuale"/>
          </w:rPr>
          <w:t>www.humanrights.gov.au</w:t>
        </w:r>
      </w:hyperlink>
    </w:p>
    <w:sectPr w:rsidR="00071913" w:rsidRPr="00071913" w:rsidSect="007A0C55">
      <w:headerReference w:type="default" r:id="rId36"/>
      <w:footerReference w:type="even"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A922" w14:textId="77777777" w:rsidR="00A31517" w:rsidRDefault="00A31517" w:rsidP="00105197">
      <w:pPr>
        <w:spacing w:before="0" w:after="0"/>
      </w:pPr>
      <w:r>
        <w:separator/>
      </w:r>
    </w:p>
  </w:endnote>
  <w:endnote w:type="continuationSeparator" w:id="0">
    <w:p w14:paraId="6378F63F" w14:textId="77777777" w:rsidR="00A31517" w:rsidRDefault="00A31517" w:rsidP="001051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1882764"/>
      <w:docPartObj>
        <w:docPartGallery w:val="Page Numbers (Bottom of Page)"/>
        <w:docPartUnique/>
      </w:docPartObj>
    </w:sdtPr>
    <w:sdtEndPr>
      <w:rPr>
        <w:rStyle w:val="Numeropagina"/>
      </w:rPr>
    </w:sdtEndPr>
    <w:sdtContent>
      <w:p w14:paraId="088FAFE3" w14:textId="473FFDC4" w:rsidR="00F74FB4" w:rsidRDefault="00F74FB4" w:rsidP="005C5A5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606812677"/>
      <w:docPartObj>
        <w:docPartGallery w:val="Page Numbers (Bottom of Page)"/>
        <w:docPartUnique/>
      </w:docPartObj>
    </w:sdtPr>
    <w:sdtEndPr>
      <w:rPr>
        <w:rStyle w:val="Numeropagina"/>
      </w:rPr>
    </w:sdtEndPr>
    <w:sdtContent>
      <w:p w14:paraId="396E9D87" w14:textId="42D38573" w:rsidR="00F74FB4" w:rsidRDefault="00F74FB4" w:rsidP="00F74FB4">
        <w:pPr>
          <w:pStyle w:val="Pidipagina"/>
          <w:framePr w:wrap="none" w:vAnchor="text" w:hAnchor="margin" w:xAlign="right" w:y="1"/>
          <w:ind w:right="360"/>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2FDEAE9" w14:textId="77777777" w:rsidR="00F74FB4" w:rsidRDefault="00F74FB4" w:rsidP="00F74FB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25777631"/>
      <w:docPartObj>
        <w:docPartGallery w:val="Page Numbers (Bottom of Page)"/>
        <w:docPartUnique/>
      </w:docPartObj>
    </w:sdtPr>
    <w:sdtEndPr>
      <w:rPr>
        <w:rStyle w:val="Numeropagina"/>
        <w:sz w:val="16"/>
        <w:szCs w:val="16"/>
      </w:rPr>
    </w:sdtEndPr>
    <w:sdtContent>
      <w:p w14:paraId="3B3FC4B1" w14:textId="3979B259" w:rsidR="00F74FB4" w:rsidRPr="00F74FB4" w:rsidRDefault="00F74FB4" w:rsidP="00F74FB4">
        <w:pPr>
          <w:pStyle w:val="Pidipagina"/>
          <w:framePr w:wrap="none" w:vAnchor="text" w:hAnchor="page" w:x="10822" w:y="20"/>
          <w:rPr>
            <w:rStyle w:val="Numeropagina"/>
            <w:sz w:val="16"/>
            <w:szCs w:val="16"/>
          </w:rPr>
        </w:pPr>
        <w:r w:rsidRPr="00F74FB4">
          <w:rPr>
            <w:rStyle w:val="Numeropagina"/>
            <w:sz w:val="18"/>
            <w:szCs w:val="18"/>
          </w:rPr>
          <w:fldChar w:fldCharType="begin"/>
        </w:r>
        <w:r w:rsidRPr="00F74FB4">
          <w:rPr>
            <w:rStyle w:val="Numeropagina"/>
            <w:sz w:val="18"/>
            <w:szCs w:val="18"/>
          </w:rPr>
          <w:instrText xml:space="preserve"> PAGE </w:instrText>
        </w:r>
        <w:r w:rsidRPr="00F74FB4">
          <w:rPr>
            <w:rStyle w:val="Numeropagina"/>
            <w:sz w:val="18"/>
            <w:szCs w:val="18"/>
          </w:rPr>
          <w:fldChar w:fldCharType="separate"/>
        </w:r>
        <w:r w:rsidRPr="00F74FB4">
          <w:rPr>
            <w:rStyle w:val="Numeropagina"/>
            <w:noProof/>
            <w:sz w:val="18"/>
            <w:szCs w:val="18"/>
          </w:rPr>
          <w:t>2</w:t>
        </w:r>
        <w:r w:rsidRPr="00F74FB4">
          <w:rPr>
            <w:rStyle w:val="Numeropagina"/>
            <w:sz w:val="18"/>
            <w:szCs w:val="18"/>
          </w:rPr>
          <w:fldChar w:fldCharType="end"/>
        </w:r>
      </w:p>
    </w:sdtContent>
  </w:sdt>
  <w:p w14:paraId="38798BAB" w14:textId="7E6B1CC2" w:rsidR="00F74FB4" w:rsidRPr="00F74FB4" w:rsidRDefault="00F74FB4" w:rsidP="007A0C55">
    <w:p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C34FB" w14:textId="77777777" w:rsidR="00A31517" w:rsidRDefault="00A31517" w:rsidP="00105197">
      <w:pPr>
        <w:spacing w:before="0" w:after="0"/>
      </w:pPr>
      <w:r>
        <w:separator/>
      </w:r>
    </w:p>
  </w:footnote>
  <w:footnote w:type="continuationSeparator" w:id="0">
    <w:p w14:paraId="6F282431" w14:textId="77777777" w:rsidR="00A31517" w:rsidRDefault="00A31517" w:rsidP="001051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1FF8" w14:textId="77777777" w:rsidR="007A0C55" w:rsidRDefault="00F74FB4" w:rsidP="007A0C55">
    <w:pPr>
      <w:pStyle w:val="Intestazione"/>
      <w:jc w:val="right"/>
      <w:rPr>
        <w:lang w:val="en-US"/>
      </w:rPr>
    </w:pPr>
    <w:r w:rsidRPr="00F74FB4">
      <w:rPr>
        <w:lang w:val="en-US"/>
      </w:rPr>
      <w:t>Australian Human Rights Commission</w:t>
    </w:r>
  </w:p>
  <w:p w14:paraId="56A90DC1" w14:textId="4D562504" w:rsidR="007A0C55" w:rsidRPr="00740139" w:rsidRDefault="00F74FB4" w:rsidP="007A0C55">
    <w:pPr>
      <w:pStyle w:val="Intestazione"/>
      <w:spacing w:after="600"/>
      <w:jc w:val="right"/>
      <w:rPr>
        <w:rFonts w:cs="Open Sans"/>
        <w:bCs/>
        <w:i/>
        <w:iCs/>
        <w:sz w:val="18"/>
        <w:szCs w:val="18"/>
      </w:rPr>
    </w:pPr>
    <w:r w:rsidRPr="00740139">
      <w:rPr>
        <w:rStyle w:val="CondensedMedium"/>
        <w:rFonts w:ascii="Open Sans" w:hAnsi="Open Sans" w:cs="Open Sans"/>
        <w:bCs/>
        <w:i/>
        <w:iCs/>
        <w:sz w:val="18"/>
        <w:szCs w:val="18"/>
      </w:rPr>
      <w:t>Factsheet</w:t>
    </w:r>
    <w:r w:rsidRPr="00740139">
      <w:rPr>
        <w:rFonts w:cs="Open Sans"/>
        <w:bCs/>
        <w:i/>
        <w:iCs/>
        <w:sz w:val="18"/>
        <w:szCs w:val="18"/>
      </w:rPr>
      <w:t xml:space="preserve"> </w:t>
    </w:r>
    <w:r w:rsidRPr="00740139">
      <w:rPr>
        <w:rFonts w:cs="Open Sans"/>
        <w:bCs/>
        <w:i/>
        <w:iCs/>
        <w:color w:val="216782"/>
        <w:sz w:val="18"/>
        <w:szCs w:val="18"/>
        <w:lang w:val="en-GB"/>
      </w:rPr>
      <w:t>•</w:t>
    </w:r>
    <w:r w:rsidRPr="00740139">
      <w:rPr>
        <w:rFonts w:cs="Open Sans"/>
        <w:bCs/>
        <w:i/>
        <w:iCs/>
        <w:sz w:val="18"/>
        <w:szCs w:val="18"/>
        <w:lang w:val="en-GB"/>
      </w:rPr>
      <w:t xml:space="preserve"> </w:t>
    </w:r>
    <w:r w:rsidRPr="00740139">
      <w:rPr>
        <w:rStyle w:val="CondensedMedium"/>
        <w:rFonts w:ascii="Open Sans" w:hAnsi="Open Sans" w:cs="Open Sans"/>
        <w:bCs/>
        <w:i/>
        <w:iCs/>
        <w:sz w:val="18"/>
        <w:szCs w:val="18"/>
      </w:rPr>
      <w:t>Multigenerational workforces: the rights of older workers</w:t>
    </w:r>
    <w:r w:rsidRPr="00740139">
      <w:rPr>
        <w:rFonts w:cs="Open Sans"/>
        <w:bCs/>
        <w:i/>
        <w:iCs/>
        <w:sz w:val="18"/>
        <w:szCs w:val="18"/>
      </w:rPr>
      <w:t xml:space="preserve"> </w:t>
    </w:r>
    <w:r w:rsidRPr="00740139">
      <w:rPr>
        <w:rFonts w:cs="Open Sans"/>
        <w:bCs/>
        <w:i/>
        <w:iCs/>
        <w:color w:val="216782"/>
        <w:sz w:val="18"/>
        <w:szCs w:val="18"/>
        <w:lang w:val="en-GB"/>
      </w:rPr>
      <w:t>•</w:t>
    </w:r>
    <w:r w:rsidRPr="00740139">
      <w:rPr>
        <w:rFonts w:cs="Open Sans"/>
        <w:bCs/>
        <w:i/>
        <w:iCs/>
        <w:sz w:val="18"/>
        <w:szCs w:val="18"/>
        <w:lang w:val="en-GB"/>
      </w:rPr>
      <w:t xml:space="preserve"> </w:t>
    </w:r>
    <w:r w:rsidRPr="00740139">
      <w:rPr>
        <w:rFonts w:cs="Open Sans"/>
        <w:bCs/>
        <w:i/>
        <w:iCs/>
        <w:sz w:val="18"/>
        <w:szCs w:val="18"/>
      </w:rPr>
      <w:t>2019</w:t>
    </w:r>
  </w:p>
  <w:p w14:paraId="2F0924AC" w14:textId="77777777" w:rsidR="00740139" w:rsidRDefault="00740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BCE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EA3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9C5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46A3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C01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5639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FA8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76E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F474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DE36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393E"/>
    <w:multiLevelType w:val="multilevel"/>
    <w:tmpl w:val="6D24823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13351F"/>
    <w:multiLevelType w:val="multilevel"/>
    <w:tmpl w:val="931C24A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F22D0E"/>
    <w:multiLevelType w:val="hybridMultilevel"/>
    <w:tmpl w:val="48F2C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BD6B01"/>
    <w:multiLevelType w:val="hybridMultilevel"/>
    <w:tmpl w:val="88F6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B70BB"/>
    <w:multiLevelType w:val="hybridMultilevel"/>
    <w:tmpl w:val="0992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61461"/>
    <w:multiLevelType w:val="hybridMultilevel"/>
    <w:tmpl w:val="F382611E"/>
    <w:lvl w:ilvl="0" w:tplc="5E50A50C">
      <w:start w:val="1"/>
      <w:numFmt w:val="bullet"/>
      <w:pStyle w:val="Bulletlast"/>
      <w:lvlText w:val="•"/>
      <w:lvlJc w:val="left"/>
      <w:pPr>
        <w:ind w:left="1434" w:hanging="360"/>
      </w:pPr>
      <w:rPr>
        <w:rFonts w:ascii="Arial"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71D1C"/>
    <w:multiLevelType w:val="multilevel"/>
    <w:tmpl w:val="A964EFE6"/>
    <w:lvl w:ilvl="0">
      <w:start w:val="1"/>
      <w:numFmt w:val="decimal"/>
      <w:lvlText w:val="%1. "/>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92523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DB15DB"/>
    <w:multiLevelType w:val="multilevel"/>
    <w:tmpl w:val="17440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D133A1"/>
    <w:multiLevelType w:val="multilevel"/>
    <w:tmpl w:val="CD7EE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E92C26"/>
    <w:multiLevelType w:val="hybridMultilevel"/>
    <w:tmpl w:val="D9D6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059B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A641B3"/>
    <w:multiLevelType w:val="multilevel"/>
    <w:tmpl w:val="931C24A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E903C6"/>
    <w:multiLevelType w:val="hybridMultilevel"/>
    <w:tmpl w:val="D8FA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E6AB8"/>
    <w:multiLevelType w:val="hybridMultilevel"/>
    <w:tmpl w:val="A20E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B326F"/>
    <w:multiLevelType w:val="hybridMultilevel"/>
    <w:tmpl w:val="8558E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56F8B"/>
    <w:multiLevelType w:val="hybridMultilevel"/>
    <w:tmpl w:val="F732C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B658E"/>
    <w:multiLevelType w:val="hybridMultilevel"/>
    <w:tmpl w:val="720E2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36C38"/>
    <w:multiLevelType w:val="multilevel"/>
    <w:tmpl w:val="CE6CBB8C"/>
    <w:lvl w:ilvl="0">
      <w:start w:val="1"/>
      <w:numFmt w:val="decimal"/>
      <w:pStyle w:val="Tito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D87B9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5"/>
  </w:num>
  <w:num w:numId="3">
    <w:abstractNumId w:val="26"/>
  </w:num>
  <w:num w:numId="4">
    <w:abstractNumId w:val="14"/>
  </w:num>
  <w:num w:numId="5">
    <w:abstractNumId w:val="23"/>
  </w:num>
  <w:num w:numId="6">
    <w:abstractNumId w:val="24"/>
  </w:num>
  <w:num w:numId="7">
    <w:abstractNumId w:val="20"/>
  </w:num>
  <w:num w:numId="8">
    <w:abstractNumId w:val="12"/>
  </w:num>
  <w:num w:numId="9">
    <w:abstractNumId w:val="13"/>
  </w:num>
  <w:num w:numId="10">
    <w:abstractNumId w:val="25"/>
  </w:num>
  <w:num w:numId="11">
    <w:abstractNumId w:val="27"/>
  </w:num>
  <w:num w:numId="12">
    <w:abstractNumId w:val="28"/>
  </w:num>
  <w:num w:numId="13">
    <w:abstractNumId w:val="19"/>
  </w:num>
  <w:num w:numId="14">
    <w:abstractNumId w:val="17"/>
  </w:num>
  <w:num w:numId="15">
    <w:abstractNumId w:val="29"/>
  </w:num>
  <w:num w:numId="16">
    <w:abstractNumId w:val="22"/>
  </w:num>
  <w:num w:numId="17">
    <w:abstractNumId w:val="16"/>
  </w:num>
  <w:num w:numId="18">
    <w:abstractNumId w:val="18"/>
  </w:num>
  <w:num w:numId="19">
    <w:abstractNumId w:val="10"/>
  </w:num>
  <w:num w:numId="20">
    <w:abstractNumId w:val="11"/>
  </w:num>
  <w:num w:numId="21">
    <w:abstractNumId w:val="21"/>
  </w:num>
  <w:num w:numId="22">
    <w:abstractNumId w:val="4"/>
  </w:num>
  <w:num w:numId="23">
    <w:abstractNumId w:val="5"/>
  </w:num>
  <w:num w:numId="24">
    <w:abstractNumId w:val="6"/>
  </w:num>
  <w:num w:numId="25">
    <w:abstractNumId w:val="7"/>
  </w:num>
  <w:num w:numId="26">
    <w:abstractNumId w:val="9"/>
  </w:num>
  <w:num w:numId="27">
    <w:abstractNumId w:val="0"/>
  </w:num>
  <w:num w:numId="28">
    <w:abstractNumId w:val="1"/>
  </w:num>
  <w:num w:numId="29">
    <w:abstractNumId w:val="2"/>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0A4"/>
    <w:rsid w:val="0000564C"/>
    <w:rsid w:val="0004254F"/>
    <w:rsid w:val="00071913"/>
    <w:rsid w:val="000746A9"/>
    <w:rsid w:val="000757A5"/>
    <w:rsid w:val="00081BB8"/>
    <w:rsid w:val="000D4EF8"/>
    <w:rsid w:val="000F280F"/>
    <w:rsid w:val="000F2A9F"/>
    <w:rsid w:val="00105197"/>
    <w:rsid w:val="0014666F"/>
    <w:rsid w:val="00147AA9"/>
    <w:rsid w:val="00153DE0"/>
    <w:rsid w:val="00171DB2"/>
    <w:rsid w:val="00172558"/>
    <w:rsid w:val="00195B39"/>
    <w:rsid w:val="001B120D"/>
    <w:rsid w:val="001D7D24"/>
    <w:rsid w:val="001E07AD"/>
    <w:rsid w:val="001F7E77"/>
    <w:rsid w:val="002015C4"/>
    <w:rsid w:val="00215EC1"/>
    <w:rsid w:val="002248A3"/>
    <w:rsid w:val="00236D86"/>
    <w:rsid w:val="0023734A"/>
    <w:rsid w:val="002400D0"/>
    <w:rsid w:val="00276E57"/>
    <w:rsid w:val="00284448"/>
    <w:rsid w:val="002845B8"/>
    <w:rsid w:val="002A6EEB"/>
    <w:rsid w:val="002B5157"/>
    <w:rsid w:val="002C4F47"/>
    <w:rsid w:val="002F00F8"/>
    <w:rsid w:val="002F0C25"/>
    <w:rsid w:val="0031220C"/>
    <w:rsid w:val="00345011"/>
    <w:rsid w:val="0038369C"/>
    <w:rsid w:val="003B2F57"/>
    <w:rsid w:val="00403176"/>
    <w:rsid w:val="0044249B"/>
    <w:rsid w:val="004A38D6"/>
    <w:rsid w:val="004C08E2"/>
    <w:rsid w:val="004C40A4"/>
    <w:rsid w:val="004D5CD7"/>
    <w:rsid w:val="004F6FA1"/>
    <w:rsid w:val="00535D80"/>
    <w:rsid w:val="005D64FD"/>
    <w:rsid w:val="005E574C"/>
    <w:rsid w:val="005E6819"/>
    <w:rsid w:val="00614E20"/>
    <w:rsid w:val="00637150"/>
    <w:rsid w:val="00677629"/>
    <w:rsid w:val="00681AA3"/>
    <w:rsid w:val="006C3FE2"/>
    <w:rsid w:val="006D226C"/>
    <w:rsid w:val="007050B6"/>
    <w:rsid w:val="00721253"/>
    <w:rsid w:val="00736866"/>
    <w:rsid w:val="00740139"/>
    <w:rsid w:val="00767786"/>
    <w:rsid w:val="007819AC"/>
    <w:rsid w:val="007A0C55"/>
    <w:rsid w:val="007A1C7A"/>
    <w:rsid w:val="007A28D5"/>
    <w:rsid w:val="007B0C86"/>
    <w:rsid w:val="007B5FBE"/>
    <w:rsid w:val="007C2407"/>
    <w:rsid w:val="007C7614"/>
    <w:rsid w:val="00823C1B"/>
    <w:rsid w:val="00837EBF"/>
    <w:rsid w:val="00855D6C"/>
    <w:rsid w:val="00863500"/>
    <w:rsid w:val="00863FD4"/>
    <w:rsid w:val="008A5B31"/>
    <w:rsid w:val="008C75C3"/>
    <w:rsid w:val="008D579D"/>
    <w:rsid w:val="00906B6F"/>
    <w:rsid w:val="0092456C"/>
    <w:rsid w:val="00930CCD"/>
    <w:rsid w:val="00930FAC"/>
    <w:rsid w:val="00987E26"/>
    <w:rsid w:val="00992EDD"/>
    <w:rsid w:val="009B7D78"/>
    <w:rsid w:val="00A0147F"/>
    <w:rsid w:val="00A31517"/>
    <w:rsid w:val="00A70A05"/>
    <w:rsid w:val="00A9370E"/>
    <w:rsid w:val="00AE534F"/>
    <w:rsid w:val="00B244E7"/>
    <w:rsid w:val="00B75349"/>
    <w:rsid w:val="00BB6E44"/>
    <w:rsid w:val="00BD2FC4"/>
    <w:rsid w:val="00BD41B4"/>
    <w:rsid w:val="00BD78AF"/>
    <w:rsid w:val="00C03F8A"/>
    <w:rsid w:val="00C15B52"/>
    <w:rsid w:val="00C87AFA"/>
    <w:rsid w:val="00CA01B5"/>
    <w:rsid w:val="00CC1D6D"/>
    <w:rsid w:val="00CC4557"/>
    <w:rsid w:val="00CC46C5"/>
    <w:rsid w:val="00CD705B"/>
    <w:rsid w:val="00D317CD"/>
    <w:rsid w:val="00D5388D"/>
    <w:rsid w:val="00D704E4"/>
    <w:rsid w:val="00DC615B"/>
    <w:rsid w:val="00DF6C1D"/>
    <w:rsid w:val="00E06467"/>
    <w:rsid w:val="00E218D1"/>
    <w:rsid w:val="00E41D3A"/>
    <w:rsid w:val="00E72040"/>
    <w:rsid w:val="00E732CF"/>
    <w:rsid w:val="00E954D8"/>
    <w:rsid w:val="00EC6494"/>
    <w:rsid w:val="00EC6640"/>
    <w:rsid w:val="00EF3813"/>
    <w:rsid w:val="00F27E3C"/>
    <w:rsid w:val="00F74FB4"/>
    <w:rsid w:val="00F76B76"/>
    <w:rsid w:val="00FB6EC0"/>
    <w:rsid w:val="00FE11C4"/>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22D3"/>
  <w15:chartTrackingRefBased/>
  <w15:docId w15:val="{BF8E65D8-7438-4D16-AF99-19AAEBC5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4D8"/>
    <w:pPr>
      <w:spacing w:before="240" w:after="240" w:line="240" w:lineRule="auto"/>
    </w:pPr>
    <w:rPr>
      <w:rFonts w:ascii="Open Sans" w:eastAsia="Times New Roman" w:hAnsi="Open Sans" w:cs="Times New Roman"/>
      <w:sz w:val="24"/>
      <w:szCs w:val="24"/>
      <w:lang w:val="en-AU" w:eastAsia="en-AU"/>
    </w:rPr>
  </w:style>
  <w:style w:type="paragraph" w:styleId="Titolo1">
    <w:name w:val="heading 1"/>
    <w:basedOn w:val="Normale"/>
    <w:next w:val="Normale"/>
    <w:link w:val="Titolo1Carattere"/>
    <w:qFormat/>
    <w:rsid w:val="00C15B52"/>
    <w:pPr>
      <w:keepNext/>
      <w:numPr>
        <w:numId w:val="12"/>
      </w:numPr>
      <w:spacing w:before="600"/>
      <w:outlineLvl w:val="0"/>
    </w:pPr>
    <w:rPr>
      <w:b/>
      <w:bCs/>
      <w:sz w:val="36"/>
      <w:szCs w:val="28"/>
    </w:rPr>
  </w:style>
  <w:style w:type="paragraph" w:styleId="Titolo2">
    <w:name w:val="heading 2"/>
    <w:basedOn w:val="Titolo1"/>
    <w:next w:val="Normale"/>
    <w:link w:val="Titolo2Carattere"/>
    <w:unhideWhenUsed/>
    <w:qFormat/>
    <w:rsid w:val="00C15B52"/>
    <w:pPr>
      <w:numPr>
        <w:numId w:val="0"/>
      </w:numPr>
      <w:spacing w:before="400"/>
      <w:outlineLvl w:val="1"/>
    </w:pPr>
    <w:rPr>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5EC1"/>
    <w:rPr>
      <w:rFonts w:ascii="Open Sans" w:eastAsia="Times New Roman" w:hAnsi="Open Sans" w:cs="Times New Roman"/>
      <w:b/>
      <w:bCs/>
      <w:sz w:val="36"/>
      <w:szCs w:val="28"/>
      <w:lang w:val="en-AU" w:eastAsia="en-AU"/>
    </w:rPr>
  </w:style>
  <w:style w:type="character" w:customStyle="1" w:styleId="Titolo2Carattere">
    <w:name w:val="Titolo 2 Carattere"/>
    <w:basedOn w:val="Carpredefinitoparagrafo"/>
    <w:link w:val="Titolo2"/>
    <w:rsid w:val="00C15B52"/>
    <w:rPr>
      <w:rFonts w:ascii="Open Sans" w:eastAsia="Times New Roman" w:hAnsi="Open Sans" w:cs="Times New Roman"/>
      <w:b/>
      <w:bCs/>
      <w:sz w:val="28"/>
      <w:szCs w:val="24"/>
      <w:lang w:val="en-AU" w:eastAsia="en-AU"/>
    </w:rPr>
  </w:style>
  <w:style w:type="character" w:styleId="Collegamentoipertestuale">
    <w:name w:val="Hyperlink"/>
    <w:uiPriority w:val="99"/>
    <w:unhideWhenUsed/>
    <w:rsid w:val="002845B8"/>
    <w:rPr>
      <w:b/>
      <w:color w:val="2E74B5" w:themeColor="accent5" w:themeShade="BF"/>
      <w:u w:val="none"/>
    </w:rPr>
  </w:style>
  <w:style w:type="paragraph" w:customStyle="1" w:styleId="MainTitle">
    <w:name w:val="Main Title"/>
    <w:semiHidden/>
    <w:qFormat/>
    <w:rsid w:val="001B120D"/>
    <w:pPr>
      <w:pBdr>
        <w:top w:val="single" w:sz="12" w:space="10" w:color="0070C0"/>
        <w:bottom w:val="single" w:sz="12" w:space="10" w:color="0070C0"/>
      </w:pBdr>
      <w:spacing w:before="240" w:after="240" w:line="240" w:lineRule="auto"/>
    </w:pPr>
    <w:rPr>
      <w:rFonts w:ascii="Arial" w:eastAsia="Times New Roman" w:hAnsi="Arial" w:cs="Times New Roman"/>
      <w:bCs/>
      <w:kern w:val="32"/>
      <w:sz w:val="100"/>
      <w:szCs w:val="32"/>
      <w:lang w:val="en-AU" w:eastAsia="en-AU"/>
    </w:rPr>
  </w:style>
  <w:style w:type="paragraph" w:customStyle="1" w:styleId="Bulletlast">
    <w:name w:val="Bullet last"/>
    <w:basedOn w:val="Normale"/>
    <w:qFormat/>
    <w:rsid w:val="001B120D"/>
    <w:pPr>
      <w:numPr>
        <w:numId w:val="1"/>
      </w:numPr>
      <w:spacing w:before="120" w:after="360"/>
      <w:ind w:left="714" w:hanging="357"/>
    </w:pPr>
  </w:style>
  <w:style w:type="paragraph" w:customStyle="1" w:styleId="Bullet">
    <w:name w:val="Bullet"/>
    <w:basedOn w:val="Bulletlast"/>
    <w:qFormat/>
    <w:rsid w:val="001B120D"/>
  </w:style>
  <w:style w:type="paragraph" w:customStyle="1" w:styleId="Textboxheading">
    <w:name w:val="Text box heading"/>
    <w:basedOn w:val="Titolo2"/>
    <w:qFormat/>
    <w:rsid w:val="001B120D"/>
    <w:pPr>
      <w:spacing w:before="120" w:after="120"/>
    </w:pPr>
    <w:rPr>
      <w:i/>
      <w:sz w:val="22"/>
    </w:rPr>
  </w:style>
  <w:style w:type="paragraph" w:customStyle="1" w:styleId="Textboxtext">
    <w:name w:val="Text box text"/>
    <w:basedOn w:val="Normale"/>
    <w:qFormat/>
    <w:rsid w:val="001B120D"/>
    <w:pPr>
      <w:spacing w:before="180" w:after="180"/>
    </w:pPr>
    <w:rPr>
      <w:rFonts w:cs="Arial"/>
    </w:rPr>
  </w:style>
  <w:style w:type="table" w:styleId="Grigliatabella">
    <w:name w:val="Table Grid"/>
    <w:basedOn w:val="Tabellanormale"/>
    <w:rsid w:val="001B120D"/>
    <w:pPr>
      <w:spacing w:after="240" w:line="240" w:lineRule="auto"/>
    </w:pPr>
    <w:rPr>
      <w:rFonts w:ascii="Times New Roman" w:eastAsia="Times New Roman" w:hAnsi="Times New Roman" w:cs="Times New Roman"/>
      <w:sz w:val="20"/>
      <w:szCs w:val="20"/>
      <w:lang w:val="en-AU"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ithLine">
    <w:name w:val="Title with Line"/>
    <w:basedOn w:val="MainTitle"/>
    <w:qFormat/>
    <w:rsid w:val="001B120D"/>
    <w:pPr>
      <w:spacing w:before="0"/>
    </w:pPr>
    <w:rPr>
      <w:rFonts w:cs="Arial"/>
      <w:b/>
      <w:sz w:val="40"/>
      <w:szCs w:val="48"/>
    </w:rPr>
  </w:style>
  <w:style w:type="paragraph" w:styleId="Testofumetto">
    <w:name w:val="Balloon Text"/>
    <w:basedOn w:val="Normale"/>
    <w:link w:val="TestofumettoCarattere"/>
    <w:uiPriority w:val="99"/>
    <w:semiHidden/>
    <w:unhideWhenUsed/>
    <w:rsid w:val="004D5CD7"/>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5CD7"/>
    <w:rPr>
      <w:rFonts w:ascii="Segoe UI" w:eastAsia="Times New Roman" w:hAnsi="Segoe UI" w:cs="Segoe UI"/>
      <w:sz w:val="18"/>
      <w:szCs w:val="18"/>
      <w:lang w:val="en-AU" w:eastAsia="en-AU"/>
    </w:rPr>
  </w:style>
  <w:style w:type="paragraph" w:styleId="Paragrafoelenco">
    <w:name w:val="List Paragraph"/>
    <w:aliases w:val="L,List Paragraph1,List Paragraph11,Recommendation,EOT List Paragraph,Bullet point,List Paragraph Number,First level bullet point"/>
    <w:basedOn w:val="Normale"/>
    <w:link w:val="ParagrafoelencoCarattere"/>
    <w:uiPriority w:val="34"/>
    <w:qFormat/>
    <w:rsid w:val="004D5CD7"/>
    <w:pPr>
      <w:ind w:left="720"/>
      <w:contextualSpacing/>
    </w:pPr>
  </w:style>
  <w:style w:type="paragraph" w:styleId="Testonotadichiusura">
    <w:name w:val="endnote text"/>
    <w:basedOn w:val="Normale"/>
    <w:link w:val="TestonotadichiusuraCarattere"/>
    <w:rsid w:val="00105197"/>
    <w:pPr>
      <w:spacing w:before="0" w:after="0"/>
      <w:jc w:val="both"/>
    </w:pPr>
    <w:rPr>
      <w:rFonts w:eastAsia="MS Mincho"/>
      <w:sz w:val="20"/>
      <w:szCs w:val="20"/>
    </w:rPr>
  </w:style>
  <w:style w:type="character" w:customStyle="1" w:styleId="EndnoteTextChar">
    <w:name w:val="Endnote Text Char"/>
    <w:basedOn w:val="Carpredefinitoparagrafo"/>
    <w:uiPriority w:val="99"/>
    <w:semiHidden/>
    <w:rsid w:val="00105197"/>
    <w:rPr>
      <w:rFonts w:ascii="Arial" w:eastAsia="Times New Roman" w:hAnsi="Arial" w:cs="Times New Roman"/>
      <w:sz w:val="20"/>
      <w:szCs w:val="20"/>
      <w:lang w:val="en-AU" w:eastAsia="en-AU"/>
    </w:rPr>
  </w:style>
  <w:style w:type="character" w:customStyle="1" w:styleId="TestonotadichiusuraCarattere">
    <w:name w:val="Testo nota di chiusura Carattere"/>
    <w:link w:val="Testonotadichiusura"/>
    <w:rsid w:val="00105197"/>
    <w:rPr>
      <w:rFonts w:ascii="Open Sans" w:eastAsia="MS Mincho" w:hAnsi="Open Sans" w:cs="Times New Roman"/>
      <w:sz w:val="20"/>
      <w:szCs w:val="20"/>
      <w:lang w:val="en-AU" w:eastAsia="en-AU"/>
    </w:rPr>
  </w:style>
  <w:style w:type="character" w:styleId="Rimandonotadichiusura">
    <w:name w:val="endnote reference"/>
    <w:rsid w:val="00105197"/>
    <w:rPr>
      <w:rFonts w:ascii="Arial" w:hAnsi="Arial"/>
      <w:sz w:val="20"/>
      <w:vertAlign w:val="superscript"/>
    </w:rPr>
  </w:style>
  <w:style w:type="character" w:customStyle="1" w:styleId="ParagrafoelencoCarattere">
    <w:name w:val="Paragrafo elenco Carattere"/>
    <w:aliases w:val="L Carattere,List Paragraph1 Carattere,List Paragraph11 Carattere,Recommendation Carattere,EOT List Paragraph Carattere,Bullet point Carattere,List Paragraph Number Carattere,First level bullet point Carattere"/>
    <w:link w:val="Paragrafoelenco"/>
    <w:uiPriority w:val="34"/>
    <w:rsid w:val="00105197"/>
    <w:rPr>
      <w:rFonts w:ascii="Arial" w:eastAsia="Times New Roman" w:hAnsi="Arial" w:cs="Times New Roman"/>
      <w:szCs w:val="24"/>
      <w:lang w:val="en-AU" w:eastAsia="en-AU"/>
    </w:rPr>
  </w:style>
  <w:style w:type="character" w:styleId="Rimandocommento">
    <w:name w:val="annotation reference"/>
    <w:basedOn w:val="Carpredefinitoparagrafo"/>
    <w:rsid w:val="00863FD4"/>
    <w:rPr>
      <w:sz w:val="16"/>
      <w:szCs w:val="16"/>
    </w:rPr>
  </w:style>
  <w:style w:type="paragraph" w:styleId="Testocommento">
    <w:name w:val="annotation text"/>
    <w:basedOn w:val="Normale"/>
    <w:link w:val="TestocommentoCarattere"/>
    <w:rsid w:val="00863FD4"/>
    <w:pPr>
      <w:jc w:val="both"/>
    </w:pPr>
    <w:rPr>
      <w:rFonts w:eastAsia="MS Mincho"/>
      <w:sz w:val="20"/>
      <w:szCs w:val="20"/>
    </w:rPr>
  </w:style>
  <w:style w:type="character" w:customStyle="1" w:styleId="TestocommentoCarattere">
    <w:name w:val="Testo commento Carattere"/>
    <w:basedOn w:val="Carpredefinitoparagrafo"/>
    <w:link w:val="Testocommento"/>
    <w:rsid w:val="00863FD4"/>
    <w:rPr>
      <w:rFonts w:ascii="Open Sans" w:eastAsia="MS Mincho" w:hAnsi="Open Sans" w:cs="Times New Roman"/>
      <w:sz w:val="20"/>
      <w:szCs w:val="20"/>
      <w:lang w:val="en-AU" w:eastAsia="en-AU"/>
    </w:rPr>
  </w:style>
  <w:style w:type="paragraph" w:styleId="Soggettocommento">
    <w:name w:val="annotation subject"/>
    <w:basedOn w:val="Testocommento"/>
    <w:next w:val="Testocommento"/>
    <w:link w:val="SoggettocommentoCarattere"/>
    <w:uiPriority w:val="99"/>
    <w:semiHidden/>
    <w:unhideWhenUsed/>
    <w:rsid w:val="002400D0"/>
    <w:pPr>
      <w:jc w:val="left"/>
    </w:pPr>
    <w:rPr>
      <w:rFonts w:ascii="Arial" w:eastAsia="Times New Roman" w:hAnsi="Arial"/>
      <w:b/>
      <w:bCs/>
    </w:rPr>
  </w:style>
  <w:style w:type="character" w:customStyle="1" w:styleId="SoggettocommentoCarattere">
    <w:name w:val="Soggetto commento Carattere"/>
    <w:basedOn w:val="TestocommentoCarattere"/>
    <w:link w:val="Soggettocommento"/>
    <w:uiPriority w:val="99"/>
    <w:semiHidden/>
    <w:rsid w:val="002400D0"/>
    <w:rPr>
      <w:rFonts w:ascii="Arial" w:eastAsia="Times New Roman" w:hAnsi="Arial" w:cs="Times New Roman"/>
      <w:b/>
      <w:bCs/>
      <w:sz w:val="20"/>
      <w:szCs w:val="20"/>
      <w:lang w:val="en-AU" w:eastAsia="en-AU"/>
    </w:rPr>
  </w:style>
  <w:style w:type="paragraph" w:styleId="Revisione">
    <w:name w:val="Revision"/>
    <w:hidden/>
    <w:uiPriority w:val="99"/>
    <w:semiHidden/>
    <w:rsid w:val="002400D0"/>
    <w:pPr>
      <w:spacing w:after="0" w:line="240" w:lineRule="auto"/>
    </w:pPr>
    <w:rPr>
      <w:rFonts w:ascii="Arial" w:eastAsia="Times New Roman" w:hAnsi="Arial" w:cs="Times New Roman"/>
      <w:szCs w:val="24"/>
      <w:lang w:val="en-AU" w:eastAsia="en-AU"/>
    </w:rPr>
  </w:style>
  <w:style w:type="character" w:styleId="Collegamentovisitato">
    <w:name w:val="FollowedHyperlink"/>
    <w:basedOn w:val="Carpredefinitoparagrafo"/>
    <w:uiPriority w:val="99"/>
    <w:unhideWhenUsed/>
    <w:rsid w:val="00F74FB4"/>
    <w:rPr>
      <w:b/>
      <w:color w:val="2E74B5" w:themeColor="accent5" w:themeShade="BF"/>
      <w:u w:val="none"/>
    </w:rPr>
  </w:style>
  <w:style w:type="paragraph" w:styleId="Sommario2">
    <w:name w:val="toc 2"/>
    <w:basedOn w:val="Normale"/>
    <w:next w:val="Normale"/>
    <w:autoRedefine/>
    <w:uiPriority w:val="39"/>
    <w:qFormat/>
    <w:rsid w:val="005E6819"/>
    <w:pPr>
      <w:tabs>
        <w:tab w:val="right" w:leader="dot" w:pos="9060"/>
      </w:tabs>
      <w:spacing w:before="0" w:after="0"/>
      <w:ind w:left="958" w:hanging="720"/>
      <w:jc w:val="both"/>
    </w:pPr>
    <w:rPr>
      <w:rFonts w:eastAsia="MS Mincho"/>
      <w:b/>
      <w:i/>
      <w:noProof/>
    </w:rPr>
  </w:style>
  <w:style w:type="character" w:styleId="Menzionenonrisolta">
    <w:name w:val="Unresolved Mention"/>
    <w:basedOn w:val="Carpredefinitoparagrafo"/>
    <w:uiPriority w:val="99"/>
    <w:semiHidden/>
    <w:unhideWhenUsed/>
    <w:rsid w:val="00F74FB4"/>
    <w:rPr>
      <w:color w:val="605E5C"/>
      <w:shd w:val="clear" w:color="auto" w:fill="E1DFDD"/>
    </w:rPr>
  </w:style>
  <w:style w:type="paragraph" w:styleId="Intestazione">
    <w:name w:val="header"/>
    <w:basedOn w:val="Normale"/>
    <w:link w:val="IntestazioneCarattere"/>
    <w:uiPriority w:val="99"/>
    <w:unhideWhenUsed/>
    <w:rsid w:val="00F74FB4"/>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F74FB4"/>
    <w:rPr>
      <w:rFonts w:ascii="Open Sans" w:eastAsia="Times New Roman" w:hAnsi="Open Sans" w:cs="Times New Roman"/>
      <w:sz w:val="24"/>
      <w:szCs w:val="24"/>
      <w:lang w:val="en-AU" w:eastAsia="en-AU"/>
    </w:rPr>
  </w:style>
  <w:style w:type="paragraph" w:styleId="Pidipagina">
    <w:name w:val="footer"/>
    <w:basedOn w:val="Normale"/>
    <w:link w:val="PidipaginaCarattere"/>
    <w:uiPriority w:val="99"/>
    <w:unhideWhenUsed/>
    <w:rsid w:val="00F74FB4"/>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F74FB4"/>
    <w:rPr>
      <w:rFonts w:ascii="Open Sans" w:eastAsia="Times New Roman" w:hAnsi="Open Sans" w:cs="Times New Roman"/>
      <w:sz w:val="24"/>
      <w:szCs w:val="24"/>
      <w:lang w:val="en-AU" w:eastAsia="en-AU"/>
    </w:rPr>
  </w:style>
  <w:style w:type="paragraph" w:customStyle="1" w:styleId="MasterHeader">
    <w:name w:val="Master Header"/>
    <w:basedOn w:val="Normale"/>
    <w:uiPriority w:val="99"/>
    <w:rsid w:val="00F74FB4"/>
    <w:pPr>
      <w:suppressAutoHyphens/>
      <w:autoSpaceDE w:val="0"/>
      <w:autoSpaceDN w:val="0"/>
      <w:adjustRightInd w:val="0"/>
      <w:spacing w:before="0" w:after="0" w:line="200" w:lineRule="atLeast"/>
      <w:textAlignment w:val="center"/>
    </w:pPr>
    <w:rPr>
      <w:rFonts w:eastAsiaTheme="minorHAnsi" w:cs="Open Sans"/>
      <w:color w:val="000000"/>
      <w:sz w:val="16"/>
      <w:szCs w:val="16"/>
      <w:lang w:val="en-US" w:eastAsia="en-US"/>
    </w:rPr>
  </w:style>
  <w:style w:type="character" w:customStyle="1" w:styleId="CondensedMedium">
    <w:name w:val="Condensed Medium"/>
    <w:basedOn w:val="Carpredefinitoparagrafo"/>
    <w:uiPriority w:val="99"/>
    <w:rsid w:val="00F74FB4"/>
    <w:rPr>
      <w:rFonts w:ascii="HelveticaNeueLT Pro 57 Cn" w:hAnsi="HelveticaNeueLT Pro 57 Cn" w:cs="HelveticaNeueLT Pro 57 Cn"/>
      <w:u w:val="none"/>
    </w:rPr>
  </w:style>
  <w:style w:type="character" w:styleId="Numeropagina">
    <w:name w:val="page number"/>
    <w:basedOn w:val="Carpredefinitoparagrafo"/>
    <w:uiPriority w:val="99"/>
    <w:semiHidden/>
    <w:unhideWhenUsed/>
    <w:rsid w:val="00F7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2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legis/cth/consol_act/ada2004174/s18.html" TargetMode="External"/><Relationship Id="rId18" Type="http://schemas.openxmlformats.org/officeDocument/2006/relationships/hyperlink" Target="http://www.austlii.edu.au/cgi-bin/viewdoc/au/legis/cth/consol_act/ada2004174/s14.html" TargetMode="External"/><Relationship Id="rId26" Type="http://schemas.openxmlformats.org/officeDocument/2006/relationships/hyperlink" Target="http://www.austlii.edu.au/cgi-bin/viewdoc/au/legis/cth/consol_act/ada2004174/s50.html" TargetMode="External"/><Relationship Id="rId39" Type="http://schemas.openxmlformats.org/officeDocument/2006/relationships/fontTable" Target="fontTable.xml"/><Relationship Id="rId21" Type="http://schemas.openxmlformats.org/officeDocument/2006/relationships/image" Target="media/image6.svg"/><Relationship Id="rId34" Type="http://schemas.openxmlformats.org/officeDocument/2006/relationships/hyperlink" Target="https://www.humanrights.gov.au/our-work/age-discrimination" TargetMode="Externa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austlii.edu.au/cgi-bin/viewdoc/au/legis/cth/consol_act/ada2004174/s24.html" TargetMode="External"/><Relationship Id="rId25" Type="http://schemas.openxmlformats.org/officeDocument/2006/relationships/image" Target="media/image10.svg"/><Relationship Id="rId33" Type="http://schemas.openxmlformats.org/officeDocument/2006/relationships/hyperlink" Target="https://www.humanrights.gov.au/our-work/publication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stlii.edu.au/cgi-bin/viewdoc/au/legis/cth/consol_act/ada2004174/s20.html" TargetMode="External"/><Relationship Id="rId20" Type="http://schemas.openxmlformats.org/officeDocument/2006/relationships/image" Target="media/image5.png"/><Relationship Id="rId29" Type="http://schemas.openxmlformats.org/officeDocument/2006/relationships/hyperlink" Target="http://www.austlii.edu.au/cgi-bin/viewdoc/au/legis/cth/consol_act/ada2004174/s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s://www.humanrights.gov.au/temporary-exemptions-under-age-discrimination-act-2004-cth"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cgi-bin/viewdoc/au/legis/cth/consol_act/ada2004174/s19.html" TargetMode="External"/><Relationship Id="rId23" Type="http://schemas.openxmlformats.org/officeDocument/2006/relationships/image" Target="media/image8.png"/><Relationship Id="rId28" Type="http://schemas.openxmlformats.org/officeDocument/2006/relationships/hyperlink" Target="http://www.austlii.edu.au/cgi-bin/viewdoc/au/legis/cth/consol_act/ada2004174/s22.html"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austlii.edu.au/cgi-bin/viewdoc/au/legis/cth/consol_act/ada2004174/s15.html" TargetMode="External"/><Relationship Id="rId31" Type="http://schemas.openxmlformats.org/officeDocument/2006/relationships/hyperlink" Target="http://www.austlii.edu.au/cgi-bin/viewdoc/au/legis/cth/consol_act/ada2004174/s42.html" TargetMode="External"/><Relationship Id="rId4" Type="http://schemas.openxmlformats.org/officeDocument/2006/relationships/settings" Target="settings.xml"/><Relationship Id="rId9" Type="http://schemas.openxmlformats.org/officeDocument/2006/relationships/hyperlink" Target="http://www.austlii.edu.au/cgi-bin/viewdb/au/legis/cth/consol_act/ada2004174/" TargetMode="External"/><Relationship Id="rId14" Type="http://schemas.openxmlformats.org/officeDocument/2006/relationships/hyperlink" Target="http://www.austlii.edu.au/cgi-bin/viewdoc/au/legis/cth/consol_act/ada2004174/s21.html" TargetMode="External"/><Relationship Id="rId22" Type="http://schemas.openxmlformats.org/officeDocument/2006/relationships/image" Target="media/image7.png"/><Relationship Id="rId27" Type="http://schemas.openxmlformats.org/officeDocument/2006/relationships/hyperlink" Target="http://www.austlii.edu.au/cgi-bin/viewdoc/au/legis/cth/consol_act/ada2004174/s51.html" TargetMode="External"/><Relationship Id="rId30" Type="http://schemas.openxmlformats.org/officeDocument/2006/relationships/hyperlink" Target="http://www.austlii.edu.au/cgi-bin/viewdoc/au/legis/cth/consol_act/ada2004174/s33.html" TargetMode="External"/><Relationship Id="rId35" Type="http://schemas.openxmlformats.org/officeDocument/2006/relationships/hyperlink" Target="https://www.humanrights.gov.a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0268-AF15-0744-B40C-55D7E08E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1475</Words>
  <Characters>8408</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Afton Fife</dc:creator>
  <cp:keywords/>
  <dc:description/>
  <cp:lastModifiedBy>Jo Stocovaz</cp:lastModifiedBy>
  <cp:revision>17</cp:revision>
  <cp:lastPrinted>2019-04-30T01:41:00Z</cp:lastPrinted>
  <dcterms:created xsi:type="dcterms:W3CDTF">2019-04-30T01:23:00Z</dcterms:created>
  <dcterms:modified xsi:type="dcterms:W3CDTF">2019-06-13T11:21:00Z</dcterms:modified>
</cp:coreProperties>
</file>