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79B84" w14:textId="77777777" w:rsidR="00613949" w:rsidRPr="005F486C" w:rsidRDefault="00613949" w:rsidP="00613949">
      <w:pPr>
        <w:outlineLvl w:val="0"/>
        <w:rPr>
          <w:rFonts w:cs="Arial"/>
          <w:b/>
          <w:bCs/>
          <w:kern w:val="36"/>
          <w:sz w:val="28"/>
        </w:rPr>
      </w:pPr>
      <w:r>
        <w:rPr>
          <w:rFonts w:cs="Arial"/>
          <w:b/>
          <w:bCs/>
          <w:kern w:val="36"/>
          <w:sz w:val="28"/>
        </w:rPr>
        <w:t>AUSTRALIAN HUMAN RIGHTS COMMISSION</w:t>
      </w:r>
    </w:p>
    <w:p w14:paraId="5505E8A0" w14:textId="77777777" w:rsidR="00613949" w:rsidRPr="005F486C" w:rsidRDefault="00613949" w:rsidP="00613949">
      <w:pPr>
        <w:spacing w:after="120"/>
        <w:outlineLvl w:val="0"/>
        <w:rPr>
          <w:rFonts w:cs="Arial"/>
          <w:b/>
          <w:bCs/>
          <w:kern w:val="36"/>
        </w:rPr>
      </w:pPr>
      <w:r w:rsidRPr="005F486C">
        <w:rPr>
          <w:rFonts w:cs="Arial"/>
          <w:b/>
          <w:bCs/>
          <w:kern w:val="36"/>
        </w:rPr>
        <w:t>DISABILITY DISCRIMINATI</w:t>
      </w:r>
      <w:r>
        <w:rPr>
          <w:rFonts w:cs="Arial"/>
          <w:b/>
          <w:bCs/>
          <w:kern w:val="36"/>
        </w:rPr>
        <w:t>ON ACT 1992 (Cth), Section 55</w:t>
      </w:r>
    </w:p>
    <w:p w14:paraId="5EBA1B83" w14:textId="77777777" w:rsidR="00613949" w:rsidRPr="005F486C" w:rsidRDefault="00613949" w:rsidP="00613949">
      <w:pPr>
        <w:spacing w:after="120"/>
        <w:outlineLvl w:val="0"/>
        <w:rPr>
          <w:rFonts w:cs="Arial"/>
          <w:b/>
          <w:bCs/>
          <w:kern w:val="36"/>
        </w:rPr>
      </w:pPr>
      <w:r w:rsidRPr="005F486C">
        <w:rPr>
          <w:rFonts w:cs="Arial"/>
          <w:b/>
          <w:bCs/>
          <w:kern w:val="36"/>
        </w:rPr>
        <w:t xml:space="preserve">DISABILITY STANDARDS FOR ACCESSIBLE PUBLIC TRANSPORT 2002 (Cth), </w:t>
      </w:r>
      <w:r>
        <w:rPr>
          <w:rFonts w:cs="Arial"/>
          <w:b/>
          <w:bCs/>
          <w:kern w:val="36"/>
        </w:rPr>
        <w:t>Section 33A.1</w:t>
      </w:r>
    </w:p>
    <w:p w14:paraId="24BE652E" w14:textId="49CDE59E" w:rsidR="00613949" w:rsidRPr="005F486C" w:rsidRDefault="00613949" w:rsidP="00613949">
      <w:pPr>
        <w:outlineLvl w:val="0"/>
        <w:rPr>
          <w:rFonts w:cs="Arial"/>
          <w:b/>
          <w:bCs/>
          <w:kern w:val="36"/>
          <w:sz w:val="28"/>
        </w:rPr>
      </w:pPr>
      <w:r w:rsidRPr="005F486C">
        <w:rPr>
          <w:rFonts w:cs="Arial"/>
          <w:b/>
          <w:bCs/>
          <w:kern w:val="36"/>
          <w:sz w:val="28"/>
        </w:rPr>
        <w:t xml:space="preserve">NOTICE OF </w:t>
      </w:r>
      <w:r w:rsidR="007A04DA">
        <w:rPr>
          <w:rFonts w:cs="Arial"/>
          <w:b/>
          <w:bCs/>
          <w:kern w:val="36"/>
          <w:sz w:val="28"/>
        </w:rPr>
        <w:t>DECISION</w:t>
      </w:r>
      <w:r>
        <w:rPr>
          <w:rFonts w:cs="Arial"/>
          <w:b/>
          <w:bCs/>
          <w:kern w:val="36"/>
          <w:sz w:val="28"/>
        </w:rPr>
        <w:t xml:space="preserve"> </w:t>
      </w:r>
      <w:r w:rsidRPr="005F486C">
        <w:rPr>
          <w:rFonts w:cs="Arial"/>
          <w:b/>
          <w:bCs/>
          <w:kern w:val="36"/>
          <w:sz w:val="28"/>
        </w:rPr>
        <w:t>ON APPL</w:t>
      </w:r>
      <w:r w:rsidR="00E276FB">
        <w:rPr>
          <w:rFonts w:cs="Arial"/>
          <w:b/>
          <w:bCs/>
          <w:kern w:val="36"/>
          <w:sz w:val="28"/>
        </w:rPr>
        <w:t>ICATION FOR TEMPORARY EXEMPTION</w:t>
      </w:r>
      <w:r w:rsidRPr="005F486C">
        <w:rPr>
          <w:rFonts w:cs="Arial"/>
          <w:b/>
          <w:bCs/>
          <w:kern w:val="36"/>
          <w:sz w:val="28"/>
        </w:rPr>
        <w:t xml:space="preserve">: </w:t>
      </w:r>
      <w:r w:rsidR="00E276FB">
        <w:rPr>
          <w:rFonts w:cs="Arial"/>
          <w:b/>
          <w:bCs/>
          <w:kern w:val="36"/>
          <w:sz w:val="28"/>
        </w:rPr>
        <w:t xml:space="preserve">TRANSPORT FOR NSW </w:t>
      </w:r>
    </w:p>
    <w:p w14:paraId="373C6177" w14:textId="4C71514B" w:rsidR="00613949" w:rsidRDefault="003B4B65" w:rsidP="00734F6D">
      <w:pPr>
        <w:pStyle w:val="Heading3"/>
        <w:keepNext w:val="0"/>
        <w:keepLines w:val="0"/>
        <w:numPr>
          <w:ilvl w:val="0"/>
          <w:numId w:val="0"/>
        </w:numPr>
        <w:spacing w:before="0"/>
        <w:rPr>
          <w:rFonts w:cs="Arial"/>
          <w:i w:val="0"/>
          <w:color w:val="000000"/>
          <w:szCs w:val="24"/>
        </w:rPr>
      </w:pPr>
      <w:r>
        <w:rPr>
          <w:rFonts w:cs="Arial"/>
          <w:i w:val="0"/>
          <w:color w:val="000000"/>
          <w:szCs w:val="24"/>
        </w:rPr>
        <w:t>T</w:t>
      </w:r>
      <w:r w:rsidR="00613949" w:rsidRPr="006A7155">
        <w:rPr>
          <w:rFonts w:cs="Arial"/>
          <w:i w:val="0"/>
          <w:color w:val="000000"/>
          <w:szCs w:val="24"/>
        </w:rPr>
        <w:t xml:space="preserve">he Australian Human Rights Commission gives notice of its </w:t>
      </w:r>
      <w:r w:rsidR="00850EC7">
        <w:rPr>
          <w:rFonts w:cs="Arial"/>
          <w:i w:val="0"/>
          <w:color w:val="000000"/>
          <w:szCs w:val="24"/>
        </w:rPr>
        <w:t xml:space="preserve">decision </w:t>
      </w:r>
      <w:r w:rsidR="00613949">
        <w:rPr>
          <w:rFonts w:cs="Arial"/>
          <w:i w:val="0"/>
          <w:color w:val="000000"/>
          <w:szCs w:val="24"/>
        </w:rPr>
        <w:t>regarding a</w:t>
      </w:r>
      <w:r w:rsidR="00E276FB">
        <w:rPr>
          <w:rFonts w:cs="Arial"/>
          <w:i w:val="0"/>
          <w:color w:val="000000"/>
          <w:szCs w:val="24"/>
        </w:rPr>
        <w:t>n</w:t>
      </w:r>
      <w:r w:rsidR="00613949" w:rsidRPr="006A7155">
        <w:rPr>
          <w:rFonts w:cs="Arial"/>
          <w:i w:val="0"/>
          <w:color w:val="000000"/>
          <w:szCs w:val="24"/>
        </w:rPr>
        <w:t xml:space="preserve"> application </w:t>
      </w:r>
      <w:r w:rsidR="00613949">
        <w:rPr>
          <w:rFonts w:cs="Arial"/>
          <w:i w:val="0"/>
          <w:color w:val="000000"/>
          <w:szCs w:val="24"/>
        </w:rPr>
        <w:t xml:space="preserve">made </w:t>
      </w:r>
      <w:r w:rsidR="00613949" w:rsidRPr="006A7155">
        <w:rPr>
          <w:rFonts w:cs="Arial"/>
          <w:i w:val="0"/>
          <w:color w:val="000000"/>
          <w:szCs w:val="24"/>
        </w:rPr>
        <w:t xml:space="preserve">by </w:t>
      </w:r>
      <w:r w:rsidR="00E276FB">
        <w:rPr>
          <w:rFonts w:cs="Arial"/>
          <w:i w:val="0"/>
          <w:color w:val="000000"/>
          <w:szCs w:val="24"/>
        </w:rPr>
        <w:t xml:space="preserve">Transport for NSW (TfNSW) </w:t>
      </w:r>
      <w:r w:rsidR="00613949" w:rsidRPr="006A7155">
        <w:rPr>
          <w:rFonts w:cs="Arial"/>
          <w:i w:val="0"/>
          <w:color w:val="000000"/>
          <w:szCs w:val="24"/>
        </w:rPr>
        <w:t xml:space="preserve">for </w:t>
      </w:r>
      <w:r w:rsidR="00E276FB">
        <w:rPr>
          <w:rFonts w:cs="Arial"/>
          <w:i w:val="0"/>
          <w:color w:val="000000"/>
          <w:szCs w:val="24"/>
        </w:rPr>
        <w:t xml:space="preserve">a </w:t>
      </w:r>
      <w:r w:rsidR="00613949" w:rsidRPr="006A7155">
        <w:rPr>
          <w:rFonts w:cs="Arial"/>
          <w:i w:val="0"/>
          <w:color w:val="000000"/>
          <w:szCs w:val="24"/>
        </w:rPr>
        <w:t>temporary</w:t>
      </w:r>
      <w:r w:rsidR="00E276FB">
        <w:rPr>
          <w:rFonts w:cs="Arial"/>
          <w:i w:val="0"/>
          <w:color w:val="000000"/>
          <w:szCs w:val="24"/>
        </w:rPr>
        <w:t xml:space="preserve"> exemption pursuant to s </w:t>
      </w:r>
      <w:r w:rsidR="00613949">
        <w:rPr>
          <w:rFonts w:cs="Arial"/>
          <w:i w:val="0"/>
          <w:color w:val="000000"/>
          <w:szCs w:val="24"/>
        </w:rPr>
        <w:t>55</w:t>
      </w:r>
      <w:r w:rsidR="00613949" w:rsidRPr="006A7155">
        <w:rPr>
          <w:rFonts w:cs="Arial"/>
          <w:i w:val="0"/>
          <w:color w:val="000000"/>
          <w:szCs w:val="24"/>
        </w:rPr>
        <w:t xml:space="preserve"> of the </w:t>
      </w:r>
      <w:r w:rsidR="00613949" w:rsidRPr="006A7155">
        <w:rPr>
          <w:rFonts w:cs="Arial"/>
          <w:iCs/>
          <w:color w:val="000000"/>
          <w:szCs w:val="24"/>
        </w:rPr>
        <w:t>Disability Discrimination Act 1992</w:t>
      </w:r>
      <w:r w:rsidR="00613949" w:rsidRPr="006A7155">
        <w:rPr>
          <w:rFonts w:cs="Arial"/>
          <w:i w:val="0"/>
          <w:color w:val="000000"/>
          <w:szCs w:val="24"/>
        </w:rPr>
        <w:t xml:space="preserve"> </w:t>
      </w:r>
      <w:r w:rsidR="00E276FB">
        <w:rPr>
          <w:rFonts w:cs="Arial"/>
          <w:i w:val="0"/>
          <w:color w:val="000000"/>
          <w:szCs w:val="24"/>
        </w:rPr>
        <w:t>(Cth) (DDA)</w:t>
      </w:r>
      <w:r w:rsidR="00613949">
        <w:rPr>
          <w:rFonts w:cs="Arial"/>
          <w:i w:val="0"/>
          <w:color w:val="000000"/>
          <w:szCs w:val="24"/>
        </w:rPr>
        <w:t xml:space="preserve"> and </w:t>
      </w:r>
      <w:r w:rsidR="00E276FB">
        <w:rPr>
          <w:rFonts w:cs="Arial"/>
          <w:i w:val="0"/>
          <w:color w:val="000000"/>
          <w:szCs w:val="24"/>
        </w:rPr>
        <w:t>s </w:t>
      </w:r>
      <w:r w:rsidR="00613949" w:rsidRPr="006A7155">
        <w:rPr>
          <w:rFonts w:cs="Arial"/>
          <w:i w:val="0"/>
          <w:color w:val="000000"/>
          <w:szCs w:val="24"/>
        </w:rPr>
        <w:t xml:space="preserve">33A.1 of the </w:t>
      </w:r>
      <w:r w:rsidR="00613949" w:rsidRPr="00E276FB">
        <w:rPr>
          <w:rFonts w:cs="Arial"/>
          <w:i w:val="0"/>
          <w:color w:val="000000"/>
          <w:szCs w:val="24"/>
        </w:rPr>
        <w:t>Disability Standards for Accessible Public Transport 2002</w:t>
      </w:r>
      <w:r w:rsidR="00613949">
        <w:rPr>
          <w:rFonts w:cs="Arial"/>
          <w:i w:val="0"/>
          <w:color w:val="000000"/>
          <w:szCs w:val="24"/>
        </w:rPr>
        <w:t xml:space="preserve"> (Cth) (</w:t>
      </w:r>
      <w:r w:rsidR="00E276FB">
        <w:rPr>
          <w:rFonts w:cs="Arial"/>
          <w:i w:val="0"/>
          <w:color w:val="000000"/>
          <w:szCs w:val="24"/>
        </w:rPr>
        <w:t>Transport Standards</w:t>
      </w:r>
      <w:r w:rsidR="00613949">
        <w:rPr>
          <w:rFonts w:cs="Arial"/>
          <w:i w:val="0"/>
          <w:color w:val="000000"/>
          <w:szCs w:val="24"/>
        </w:rPr>
        <w:t xml:space="preserve">). </w:t>
      </w:r>
    </w:p>
    <w:p w14:paraId="2273DE36" w14:textId="6366538E" w:rsidR="00613949" w:rsidRDefault="00CB6C6B" w:rsidP="00A332B1">
      <w:pPr>
        <w:keepNext/>
        <w:numPr>
          <w:ilvl w:val="0"/>
          <w:numId w:val="18"/>
        </w:numPr>
        <w:outlineLvl w:val="2"/>
        <w:rPr>
          <w:rFonts w:cs="Arial"/>
          <w:b/>
          <w:bCs/>
        </w:rPr>
      </w:pPr>
      <w:r>
        <w:rPr>
          <w:rFonts w:cs="Arial"/>
          <w:b/>
          <w:bCs/>
        </w:rPr>
        <w:t xml:space="preserve">DECISION ON </w:t>
      </w:r>
      <w:r w:rsidR="00613949" w:rsidRPr="005F486C">
        <w:rPr>
          <w:rFonts w:cs="Arial"/>
          <w:b/>
          <w:bCs/>
        </w:rPr>
        <w:t>APPLICATION</w:t>
      </w:r>
      <w:r>
        <w:rPr>
          <w:rFonts w:cs="Arial"/>
          <w:b/>
          <w:bCs/>
        </w:rPr>
        <w:t xml:space="preserve"> FOR EXTENTION OF INITIAL NEGOTIATION PERIOD</w:t>
      </w:r>
    </w:p>
    <w:p w14:paraId="03EB7E21" w14:textId="677E9BA1" w:rsidR="00A25A34" w:rsidRPr="00A25A34" w:rsidRDefault="00A25A34" w:rsidP="00A332B1">
      <w:pPr>
        <w:numPr>
          <w:ilvl w:val="1"/>
          <w:numId w:val="18"/>
        </w:numPr>
        <w:rPr>
          <w:rFonts w:cs="Arial"/>
          <w:color w:val="000000"/>
        </w:rPr>
      </w:pPr>
      <w:r>
        <w:rPr>
          <w:rFonts w:cs="Arial"/>
          <w:color w:val="000000"/>
        </w:rPr>
        <w:t xml:space="preserve">TfNSW is an agency of the New South Wales Government and describes itself as ‘the lead agency of the NSW Transport cluster’.  </w:t>
      </w:r>
      <w:r w:rsidR="00265C15">
        <w:rPr>
          <w:rFonts w:cs="Arial"/>
          <w:color w:val="000000"/>
        </w:rPr>
        <w:t xml:space="preserve">The role of TfNSW is to ‘lead the development of a safe, efficient, integrated transport system’.  </w:t>
      </w:r>
    </w:p>
    <w:p w14:paraId="52207823" w14:textId="52177D2C" w:rsidR="00613949" w:rsidRPr="00AB1EE1" w:rsidRDefault="00E655FD" w:rsidP="00A332B1">
      <w:pPr>
        <w:numPr>
          <w:ilvl w:val="1"/>
          <w:numId w:val="18"/>
        </w:numPr>
        <w:rPr>
          <w:rFonts w:cs="Arial"/>
          <w:color w:val="000000"/>
        </w:rPr>
      </w:pPr>
      <w:r>
        <w:t xml:space="preserve">On 3 November 2017, </w:t>
      </w:r>
      <w:r w:rsidR="00265C15">
        <w:rPr>
          <w:rFonts w:cs="Arial"/>
          <w:bCs/>
        </w:rPr>
        <w:t xml:space="preserve">TfNSW </w:t>
      </w:r>
      <w:r w:rsidR="00477DD9">
        <w:rPr>
          <w:rFonts w:cs="Arial"/>
          <w:bCs/>
        </w:rPr>
        <w:t>sought</w:t>
      </w:r>
      <w:r w:rsidR="00265C15">
        <w:rPr>
          <w:rFonts w:cs="Arial"/>
          <w:bCs/>
        </w:rPr>
        <w:t xml:space="preserve"> a temporary</w:t>
      </w:r>
      <w:r w:rsidR="00E276FB">
        <w:rPr>
          <w:rFonts w:cs="Arial"/>
          <w:bCs/>
        </w:rPr>
        <w:t xml:space="preserve"> exemption from compliance with </w:t>
      </w:r>
      <w:r w:rsidR="00265C15">
        <w:rPr>
          <w:rFonts w:cs="Arial"/>
          <w:bCs/>
        </w:rPr>
        <w:t>the Transport Standards in relation to infrastructure at Birchgrove Ferry Wharf</w:t>
      </w:r>
      <w:r w:rsidR="007526CD">
        <w:rPr>
          <w:rFonts w:cs="Arial"/>
          <w:bCs/>
        </w:rPr>
        <w:t xml:space="preserve"> (Birchgrove Wharf)</w:t>
      </w:r>
      <w:r w:rsidR="00265C15">
        <w:rPr>
          <w:rFonts w:cs="Arial"/>
          <w:bCs/>
        </w:rPr>
        <w:t xml:space="preserve">.  In particular, it </w:t>
      </w:r>
      <w:r w:rsidR="00477DD9">
        <w:rPr>
          <w:rFonts w:cs="Arial"/>
          <w:bCs/>
        </w:rPr>
        <w:t>sought</w:t>
      </w:r>
      <w:r w:rsidR="00265C15">
        <w:rPr>
          <w:rFonts w:cs="Arial"/>
          <w:bCs/>
        </w:rPr>
        <w:t xml:space="preserve"> a temporary exemption from compliance with </w:t>
      </w:r>
      <w:r w:rsidR="00544F10">
        <w:rPr>
          <w:rFonts w:cs="Arial"/>
          <w:bCs/>
        </w:rPr>
        <w:t>ss </w:t>
      </w:r>
      <w:r w:rsidR="00265C15">
        <w:rPr>
          <w:rFonts w:cs="Arial"/>
          <w:bCs/>
        </w:rPr>
        <w:t xml:space="preserve">2.1 and 2.2 of the Transport Standards in relation to ‘the access path connecting the landside from Louisa Road entrance to the Birchgrove Wharf landside shelter’. </w:t>
      </w:r>
      <w:r>
        <w:rPr>
          <w:rFonts w:cs="Arial"/>
          <w:bCs/>
        </w:rPr>
        <w:t xml:space="preserve"> </w:t>
      </w:r>
      <w:r>
        <w:rPr>
          <w:rFonts w:cs="Arial"/>
        </w:rPr>
        <w:t xml:space="preserve">The access path from Louisa Road to Birchgrove Wharf runs through land owned by Inner West Council (IWC).  </w:t>
      </w:r>
    </w:p>
    <w:p w14:paraId="18605FFB" w14:textId="342401B7" w:rsidR="00613949" w:rsidRPr="00734F6D" w:rsidRDefault="00C94F42" w:rsidP="00A332B1">
      <w:pPr>
        <w:keepNext/>
        <w:numPr>
          <w:ilvl w:val="1"/>
          <w:numId w:val="18"/>
        </w:numPr>
        <w:rPr>
          <w:rStyle w:val="Strong"/>
          <w:rFonts w:cs="Arial"/>
          <w:b w:val="0"/>
          <w:bCs w:val="0"/>
        </w:rPr>
      </w:pPr>
      <w:r>
        <w:rPr>
          <w:rStyle w:val="Strong"/>
          <w:rFonts w:cs="Arial"/>
          <w:b w:val="0"/>
        </w:rPr>
        <w:t>On 3 May 2018, t</w:t>
      </w:r>
      <w:r w:rsidR="00613949" w:rsidRPr="00734F6D">
        <w:rPr>
          <w:rStyle w:val="Strong"/>
          <w:rFonts w:cs="Arial"/>
          <w:b w:val="0"/>
        </w:rPr>
        <w:t xml:space="preserve">he Commission </w:t>
      </w:r>
      <w:r w:rsidR="00850EC7">
        <w:rPr>
          <w:rStyle w:val="Strong"/>
          <w:rFonts w:cs="Arial"/>
          <w:b w:val="0"/>
        </w:rPr>
        <w:t xml:space="preserve">decided </w:t>
      </w:r>
      <w:r w:rsidR="00477DD9">
        <w:rPr>
          <w:rStyle w:val="Strong"/>
          <w:rFonts w:cs="Arial"/>
          <w:b w:val="0"/>
        </w:rPr>
        <w:t>to</w:t>
      </w:r>
      <w:r w:rsidR="00613949" w:rsidRPr="00734F6D">
        <w:rPr>
          <w:rStyle w:val="Strong"/>
          <w:rFonts w:cs="Arial"/>
          <w:b w:val="0"/>
        </w:rPr>
        <w:t>:</w:t>
      </w:r>
    </w:p>
    <w:p w14:paraId="1D2887F1" w14:textId="647995F5" w:rsidR="00A00BE9" w:rsidRDefault="00EF7613" w:rsidP="00A332B1">
      <w:pPr>
        <w:pStyle w:val="ListParagraph"/>
        <w:numPr>
          <w:ilvl w:val="0"/>
          <w:numId w:val="22"/>
        </w:numPr>
        <w:tabs>
          <w:tab w:val="left" w:pos="1418"/>
        </w:tabs>
        <w:ind w:hanging="651"/>
        <w:contextualSpacing w:val="0"/>
        <w:outlineLvl w:val="2"/>
        <w:rPr>
          <w:rFonts w:cs="Arial"/>
          <w:bCs/>
        </w:rPr>
      </w:pPr>
      <w:r w:rsidRPr="00A00BE9">
        <w:rPr>
          <w:rFonts w:cs="Arial"/>
          <w:bCs/>
        </w:rPr>
        <w:t xml:space="preserve">Grant an initial exemption for </w:t>
      </w:r>
      <w:r w:rsidRPr="00675B17">
        <w:rPr>
          <w:rFonts w:cs="Arial"/>
          <w:bCs/>
        </w:rPr>
        <w:t>6 months</w:t>
      </w:r>
      <w:r w:rsidRPr="00A00BE9">
        <w:rPr>
          <w:rFonts w:cs="Arial"/>
          <w:bCs/>
        </w:rPr>
        <w:t xml:space="preserve"> without conditions, </w:t>
      </w:r>
      <w:r w:rsidR="00A63C89">
        <w:rPr>
          <w:rFonts w:cs="Arial"/>
          <w:bCs/>
        </w:rPr>
        <w:t xml:space="preserve">which may be extended by the Commission for a further period of up to 3 months, </w:t>
      </w:r>
      <w:r w:rsidRPr="00A00BE9">
        <w:rPr>
          <w:rFonts w:cs="Arial"/>
          <w:bCs/>
        </w:rPr>
        <w:t xml:space="preserve">to allow TfNSW and IWC to continue to negotiate </w:t>
      </w:r>
      <w:r w:rsidR="00F4603D" w:rsidRPr="00A00BE9">
        <w:rPr>
          <w:rFonts w:cs="Arial"/>
          <w:bCs/>
        </w:rPr>
        <w:t xml:space="preserve">in relation to </w:t>
      </w:r>
      <w:r w:rsidRPr="00A00BE9">
        <w:rPr>
          <w:rFonts w:cs="Arial"/>
          <w:bCs/>
        </w:rPr>
        <w:t>an appropriate solution</w:t>
      </w:r>
      <w:r w:rsidR="00CA724E" w:rsidRPr="00A00BE9">
        <w:rPr>
          <w:rFonts w:cs="Arial"/>
          <w:bCs/>
        </w:rPr>
        <w:t xml:space="preserve"> that improves access to Birchgrove Wharf for people with disabilities</w:t>
      </w:r>
      <w:r w:rsidRPr="00A00BE9">
        <w:rPr>
          <w:rFonts w:cs="Arial"/>
          <w:bCs/>
        </w:rPr>
        <w:t>.</w:t>
      </w:r>
    </w:p>
    <w:p w14:paraId="76F200A1" w14:textId="282EC65D" w:rsidR="00A00BE9" w:rsidRDefault="00CA724E" w:rsidP="00A332B1">
      <w:pPr>
        <w:pStyle w:val="ListParagraph"/>
        <w:numPr>
          <w:ilvl w:val="0"/>
          <w:numId w:val="22"/>
        </w:numPr>
        <w:tabs>
          <w:tab w:val="left" w:pos="1418"/>
        </w:tabs>
        <w:ind w:hanging="651"/>
        <w:contextualSpacing w:val="0"/>
        <w:outlineLvl w:val="2"/>
        <w:rPr>
          <w:rFonts w:cs="Arial"/>
          <w:bCs/>
        </w:rPr>
      </w:pPr>
      <w:r w:rsidRPr="00A00BE9">
        <w:rPr>
          <w:rFonts w:cs="Arial"/>
          <w:bCs/>
        </w:rPr>
        <w:t xml:space="preserve">Grant a conditional exemption for a further </w:t>
      </w:r>
      <w:r w:rsidR="00A63C89">
        <w:rPr>
          <w:rFonts w:cs="Arial"/>
          <w:bCs/>
        </w:rPr>
        <w:t>24</w:t>
      </w:r>
      <w:r w:rsidRPr="00675B17">
        <w:rPr>
          <w:rFonts w:cs="Arial"/>
          <w:bCs/>
        </w:rPr>
        <w:t xml:space="preserve"> months</w:t>
      </w:r>
      <w:r w:rsidRPr="00A00BE9">
        <w:rPr>
          <w:rFonts w:cs="Arial"/>
          <w:bCs/>
        </w:rPr>
        <w:t>, to allow the implementation of an agreed solution, on the conditions that</w:t>
      </w:r>
      <w:r w:rsidR="00A00BE9">
        <w:rPr>
          <w:rFonts w:cs="Arial"/>
          <w:bCs/>
        </w:rPr>
        <w:t>:</w:t>
      </w:r>
    </w:p>
    <w:p w14:paraId="410DAEA0" w14:textId="257CB6CD" w:rsidR="00A00BE9" w:rsidRDefault="00EF7613" w:rsidP="00A332B1">
      <w:pPr>
        <w:pStyle w:val="ListParagraph"/>
        <w:numPr>
          <w:ilvl w:val="2"/>
          <w:numId w:val="22"/>
        </w:numPr>
        <w:tabs>
          <w:tab w:val="left" w:pos="1418"/>
        </w:tabs>
        <w:ind w:left="2410" w:hanging="425"/>
        <w:contextualSpacing w:val="0"/>
        <w:outlineLvl w:val="2"/>
        <w:rPr>
          <w:rFonts w:cs="Arial"/>
          <w:bCs/>
        </w:rPr>
      </w:pPr>
      <w:r w:rsidRPr="00A00BE9">
        <w:rPr>
          <w:rFonts w:cs="Arial"/>
          <w:bCs/>
        </w:rPr>
        <w:t xml:space="preserve">TfNSW confirms in writing to the Commission during the initial </w:t>
      </w:r>
      <w:r w:rsidR="0038337E">
        <w:rPr>
          <w:rFonts w:cs="Arial"/>
          <w:bCs/>
        </w:rPr>
        <w:t xml:space="preserve">negotiation </w:t>
      </w:r>
      <w:r w:rsidRPr="00A00BE9">
        <w:rPr>
          <w:rFonts w:cs="Arial"/>
          <w:bCs/>
        </w:rPr>
        <w:t xml:space="preserve">period that agreement has been reached with IWC about how </w:t>
      </w:r>
      <w:r w:rsidR="00CA724E" w:rsidRPr="00A00BE9">
        <w:rPr>
          <w:rFonts w:cs="Arial"/>
          <w:bCs/>
        </w:rPr>
        <w:t>to improve access to Birchgrove Wharf for people with disabilities</w:t>
      </w:r>
      <w:r w:rsidR="00A00BE9" w:rsidRPr="00A00BE9">
        <w:rPr>
          <w:rFonts w:cs="Arial"/>
          <w:bCs/>
        </w:rPr>
        <w:t xml:space="preserve"> and describes the nature of the agreed solution</w:t>
      </w:r>
      <w:r w:rsidRPr="00A00BE9">
        <w:rPr>
          <w:rFonts w:cs="Arial"/>
          <w:bCs/>
        </w:rPr>
        <w:t>; and</w:t>
      </w:r>
    </w:p>
    <w:p w14:paraId="4F70AF64" w14:textId="5F729784" w:rsidR="006D250A" w:rsidRPr="00A00BE9" w:rsidRDefault="00EF7613" w:rsidP="00A332B1">
      <w:pPr>
        <w:pStyle w:val="ListParagraph"/>
        <w:numPr>
          <w:ilvl w:val="2"/>
          <w:numId w:val="22"/>
        </w:numPr>
        <w:tabs>
          <w:tab w:val="left" w:pos="1418"/>
        </w:tabs>
        <w:ind w:left="2410" w:hanging="425"/>
        <w:contextualSpacing w:val="0"/>
        <w:outlineLvl w:val="2"/>
        <w:rPr>
          <w:rFonts w:cs="Arial"/>
          <w:bCs/>
        </w:rPr>
      </w:pPr>
      <w:r w:rsidRPr="00A00BE9">
        <w:rPr>
          <w:rFonts w:cs="Arial"/>
          <w:bCs/>
        </w:rPr>
        <w:t xml:space="preserve">the agreed solution would provide access in a way that is compliant with </w:t>
      </w:r>
      <w:r w:rsidR="00603F6C" w:rsidRPr="00A00BE9">
        <w:rPr>
          <w:rFonts w:cs="Arial"/>
          <w:bCs/>
        </w:rPr>
        <w:t>the</w:t>
      </w:r>
      <w:r w:rsidR="00603F6C">
        <w:rPr>
          <w:rFonts w:cs="Arial"/>
          <w:bCs/>
        </w:rPr>
        <w:t xml:space="preserve"> DDA and the</w:t>
      </w:r>
      <w:r w:rsidR="00603F6C" w:rsidRPr="00A00BE9">
        <w:rPr>
          <w:rFonts w:cs="Arial"/>
          <w:bCs/>
        </w:rPr>
        <w:t xml:space="preserve"> </w:t>
      </w:r>
      <w:r w:rsidR="00317365" w:rsidRPr="00A00BE9">
        <w:rPr>
          <w:rFonts w:cs="Arial"/>
          <w:bCs/>
        </w:rPr>
        <w:t>Transport Standards</w:t>
      </w:r>
      <w:r w:rsidRPr="00A00BE9">
        <w:rPr>
          <w:rFonts w:cs="Arial"/>
          <w:bCs/>
        </w:rPr>
        <w:t>.</w:t>
      </w:r>
      <w:r w:rsidR="006D250A" w:rsidRPr="00A00BE9">
        <w:rPr>
          <w:rFonts w:cs="Arial"/>
          <w:bCs/>
        </w:rPr>
        <w:t xml:space="preserve"> </w:t>
      </w:r>
    </w:p>
    <w:p w14:paraId="460F41CC" w14:textId="5B277BCA" w:rsidR="00613F81" w:rsidRDefault="00613F81"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Prior to making this decision, the Commission:</w:t>
      </w:r>
    </w:p>
    <w:p w14:paraId="2B70AEDA" w14:textId="704ADCAB" w:rsidR="00613F81" w:rsidRDefault="00613F81" w:rsidP="00613F81">
      <w:pPr>
        <w:numPr>
          <w:ilvl w:val="2"/>
          <w:numId w:val="18"/>
        </w:numPr>
      </w:pPr>
      <w:r>
        <w:t xml:space="preserve">wrote to TfNSW and requested further information and documents </w:t>
      </w:r>
    </w:p>
    <w:p w14:paraId="1CF0A35C" w14:textId="16905111" w:rsidR="00613F81" w:rsidRDefault="00613F81" w:rsidP="00613F81">
      <w:pPr>
        <w:keepNext/>
        <w:numPr>
          <w:ilvl w:val="2"/>
          <w:numId w:val="18"/>
        </w:numPr>
      </w:pPr>
      <w:r>
        <w:lastRenderedPageBreak/>
        <w:t>called for submissions about the application’s merits and commenced a six-week public consultation period</w:t>
      </w:r>
      <w:r>
        <w:t xml:space="preserve"> which involved</w:t>
      </w:r>
      <w:r>
        <w:t>:</w:t>
      </w:r>
    </w:p>
    <w:p w14:paraId="56B7C2CF" w14:textId="77777777" w:rsidR="00613F81" w:rsidRDefault="00613F81" w:rsidP="00613F81">
      <w:pPr>
        <w:pStyle w:val="ListParagraph"/>
        <w:numPr>
          <w:ilvl w:val="0"/>
          <w:numId w:val="19"/>
        </w:numPr>
        <w:ind w:left="2574" w:hanging="567"/>
        <w:contextualSpacing w:val="0"/>
      </w:pPr>
      <w:r>
        <w:t>publishing the application and the further information and documents on its website, and calling for public submissions</w:t>
      </w:r>
    </w:p>
    <w:p w14:paraId="62B9567D" w14:textId="77777777" w:rsidR="00613F81" w:rsidRDefault="00613F81" w:rsidP="00613F81">
      <w:pPr>
        <w:pStyle w:val="ListParagraph"/>
        <w:numPr>
          <w:ilvl w:val="0"/>
          <w:numId w:val="19"/>
        </w:numPr>
        <w:ind w:left="2574" w:hanging="567"/>
        <w:contextualSpacing w:val="0"/>
      </w:pPr>
      <w:r>
        <w:t>writing to State and Territory anti-discrimination bodies, inviting them to make submissions</w:t>
      </w:r>
    </w:p>
    <w:p w14:paraId="7B37EAB3" w14:textId="77777777" w:rsidR="00613F81" w:rsidRDefault="00613F81" w:rsidP="00613F81">
      <w:pPr>
        <w:pStyle w:val="ListParagraph"/>
        <w:numPr>
          <w:ilvl w:val="0"/>
          <w:numId w:val="19"/>
        </w:numPr>
        <w:ind w:left="2574" w:hanging="567"/>
        <w:contextualSpacing w:val="0"/>
      </w:pPr>
      <w:r>
        <w:t xml:space="preserve">writing to a number of peak bodies representing people with disability, inviting them to make submissions, and </w:t>
      </w:r>
    </w:p>
    <w:p w14:paraId="2B33C772" w14:textId="36CBE246" w:rsidR="00613F81" w:rsidRDefault="00613F81" w:rsidP="00613F81">
      <w:pPr>
        <w:pStyle w:val="ListParagraph"/>
        <w:numPr>
          <w:ilvl w:val="0"/>
          <w:numId w:val="19"/>
        </w:numPr>
        <w:ind w:left="2574" w:hanging="567"/>
        <w:contextualSpacing w:val="0"/>
      </w:pPr>
      <w:r>
        <w:t>writing to APTJC inviting its members</w:t>
      </w:r>
      <w:r w:rsidR="00CB6C6B">
        <w:t xml:space="preserve"> to make submissions</w:t>
      </w:r>
    </w:p>
    <w:p w14:paraId="015F4B31" w14:textId="412272AF" w:rsidR="00613F81" w:rsidRDefault="00613F81" w:rsidP="00613F81">
      <w:pPr>
        <w:numPr>
          <w:ilvl w:val="2"/>
          <w:numId w:val="18"/>
        </w:numPr>
      </w:pPr>
      <w:r>
        <w:t xml:space="preserve">considered the submissions it </w:t>
      </w:r>
      <w:r>
        <w:t xml:space="preserve">received during </w:t>
      </w:r>
      <w:r>
        <w:t xml:space="preserve">the </w:t>
      </w:r>
      <w:r>
        <w:t>public consultation</w:t>
      </w:r>
      <w:r>
        <w:t xml:space="preserve"> process </w:t>
      </w:r>
      <w:r w:rsidR="00E1799F">
        <w:t xml:space="preserve">and published copies of these </w:t>
      </w:r>
      <w:r>
        <w:t xml:space="preserve">submissions on the Commission’s website </w:t>
      </w:r>
    </w:p>
    <w:p w14:paraId="3FD4427C" w14:textId="0EE0A919" w:rsidR="00613F81" w:rsidRDefault="00613F81" w:rsidP="00E1799F">
      <w:pPr>
        <w:numPr>
          <w:ilvl w:val="2"/>
          <w:numId w:val="18"/>
        </w:numPr>
      </w:pPr>
      <w:r w:rsidRPr="00CE1F09">
        <w:t xml:space="preserve">issued </w:t>
      </w:r>
      <w:r>
        <w:t xml:space="preserve">a </w:t>
      </w:r>
      <w:r w:rsidRPr="00CE1F09">
        <w:t>preliminary view</w:t>
      </w:r>
      <w:r>
        <w:t xml:space="preserve"> to the parties</w:t>
      </w:r>
      <w:r w:rsidR="00E1799F">
        <w:t xml:space="preserve">, provided </w:t>
      </w:r>
      <w:r>
        <w:t xml:space="preserve">a copy to the people and organisations that had made a submission in relation to the application, and published </w:t>
      </w:r>
      <w:r w:rsidR="00E1799F">
        <w:t xml:space="preserve">a copy </w:t>
      </w:r>
      <w:r>
        <w:t>on the Commission’s website</w:t>
      </w:r>
      <w:r w:rsidR="00E1799F">
        <w:t xml:space="preserve"> </w:t>
      </w:r>
    </w:p>
    <w:p w14:paraId="4D0764EA" w14:textId="5B4B1920" w:rsidR="00613F81" w:rsidRPr="00CE1F09" w:rsidRDefault="00E1799F" w:rsidP="00E1799F">
      <w:pPr>
        <w:numPr>
          <w:ilvl w:val="2"/>
          <w:numId w:val="18"/>
        </w:numPr>
      </w:pPr>
      <w:r>
        <w:t xml:space="preserve">considered the response by </w:t>
      </w:r>
      <w:r w:rsidR="00613F81">
        <w:t>TfNSW to the preliminary view.  The Commission did not receive any other responses</w:t>
      </w:r>
      <w:r w:rsidR="00CB6C6B">
        <w:t xml:space="preserve"> to its preliminary view</w:t>
      </w:r>
      <w:r w:rsidR="00613F81">
        <w:t>.</w:t>
      </w:r>
    </w:p>
    <w:p w14:paraId="3131D14C" w14:textId="324ABF09" w:rsidR="00477DD9" w:rsidRDefault="00477DD9"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 xml:space="preserve">A copy of </w:t>
      </w:r>
      <w:r w:rsidR="00E1799F">
        <w:rPr>
          <w:rStyle w:val="Strong"/>
          <w:rFonts w:cs="Arial"/>
          <w:b w:val="0"/>
          <w:bCs/>
          <w:i w:val="0"/>
          <w:szCs w:val="24"/>
        </w:rPr>
        <w:t xml:space="preserve">the Commission’s </w:t>
      </w:r>
      <w:r>
        <w:rPr>
          <w:rStyle w:val="Strong"/>
          <w:rFonts w:cs="Arial"/>
          <w:b w:val="0"/>
          <w:bCs/>
          <w:i w:val="0"/>
          <w:szCs w:val="24"/>
        </w:rPr>
        <w:t>decision was published in the Gazette.</w:t>
      </w:r>
      <w:r w:rsidR="00E1799F">
        <w:rPr>
          <w:rStyle w:val="Strong"/>
          <w:rFonts w:cs="Arial"/>
          <w:b w:val="0"/>
          <w:bCs/>
          <w:i w:val="0"/>
          <w:szCs w:val="24"/>
        </w:rPr>
        <w:t xml:space="preserve">  At the time the decision was made, </w:t>
      </w:r>
      <w:r w:rsidR="00ED4ACE">
        <w:rPr>
          <w:rStyle w:val="Strong"/>
          <w:rFonts w:cs="Arial"/>
          <w:b w:val="0"/>
          <w:bCs/>
          <w:i w:val="0"/>
          <w:szCs w:val="24"/>
        </w:rPr>
        <w:t xml:space="preserve">the terms of the decision </w:t>
      </w:r>
      <w:r w:rsidR="00E1799F">
        <w:rPr>
          <w:rStyle w:val="Strong"/>
          <w:rFonts w:cs="Arial"/>
          <w:b w:val="0"/>
          <w:bCs/>
          <w:i w:val="0"/>
          <w:szCs w:val="24"/>
        </w:rPr>
        <w:t xml:space="preserve">anticipated that the Commission would have the discretion to extend the initial exemption period by a further 3 months.  </w:t>
      </w:r>
      <w:r w:rsidR="00CB6C6B">
        <w:rPr>
          <w:rStyle w:val="Strong"/>
          <w:rFonts w:cs="Arial"/>
          <w:b w:val="0"/>
          <w:bCs/>
          <w:i w:val="0"/>
          <w:szCs w:val="24"/>
        </w:rPr>
        <w:t xml:space="preserve">No interested party has sought to </w:t>
      </w:r>
      <w:r w:rsidR="00E1799F">
        <w:rPr>
          <w:rStyle w:val="Strong"/>
          <w:rFonts w:cs="Arial"/>
          <w:b w:val="0"/>
          <w:bCs/>
          <w:i w:val="0"/>
          <w:szCs w:val="24"/>
        </w:rPr>
        <w:t>challenge this decision by the Commission.</w:t>
      </w:r>
    </w:p>
    <w:p w14:paraId="3C65AC5A" w14:textId="2CAAE5AC" w:rsidR="00477DD9" w:rsidRDefault="00477DD9"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 xml:space="preserve">On 30 October 2018, TfNSW wrote to the Commission noting that it had engaged with IWC </w:t>
      </w:r>
      <w:r w:rsidR="00E655FD">
        <w:rPr>
          <w:rStyle w:val="Strong"/>
          <w:rFonts w:cs="Arial"/>
          <w:b w:val="0"/>
          <w:bCs/>
          <w:i w:val="0"/>
          <w:szCs w:val="24"/>
        </w:rPr>
        <w:t xml:space="preserve">in the development of suitable options that meet requirements under the Transport Standards.  TfNSW sought a further period of 3 months to continue discussions with IWC to reach agreement on a compliant solution.  TfNSW said that it had been informed by IWC that a determination on options presented may not be reached until February 2019.  </w:t>
      </w:r>
    </w:p>
    <w:p w14:paraId="3E98BB2C" w14:textId="41ADEBD1" w:rsidR="00CB6C6B" w:rsidRDefault="00CB6C6B"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 xml:space="preserve">The initial exemption period expired on 3 November 2018.  </w:t>
      </w:r>
      <w:r>
        <w:rPr>
          <w:rStyle w:val="Strong"/>
          <w:rFonts w:cs="Arial"/>
          <w:b w:val="0"/>
          <w:bCs/>
          <w:i w:val="0"/>
          <w:szCs w:val="24"/>
        </w:rPr>
        <w:t xml:space="preserve">A 3 month extension would </w:t>
      </w:r>
      <w:r>
        <w:rPr>
          <w:rStyle w:val="Strong"/>
          <w:rFonts w:cs="Arial"/>
          <w:b w:val="0"/>
          <w:bCs/>
          <w:i w:val="0"/>
          <w:szCs w:val="24"/>
        </w:rPr>
        <w:t xml:space="preserve">extend </w:t>
      </w:r>
      <w:r>
        <w:rPr>
          <w:rStyle w:val="Strong"/>
          <w:rFonts w:cs="Arial"/>
          <w:b w:val="0"/>
          <w:bCs/>
          <w:i w:val="0"/>
          <w:szCs w:val="24"/>
        </w:rPr>
        <w:t xml:space="preserve">the initial exemption </w:t>
      </w:r>
      <w:r>
        <w:rPr>
          <w:rStyle w:val="Strong"/>
          <w:rFonts w:cs="Arial"/>
          <w:b w:val="0"/>
          <w:bCs/>
          <w:i w:val="0"/>
          <w:szCs w:val="24"/>
        </w:rPr>
        <w:t xml:space="preserve">period </w:t>
      </w:r>
      <w:r>
        <w:rPr>
          <w:rStyle w:val="Strong"/>
          <w:rFonts w:cs="Arial"/>
          <w:b w:val="0"/>
          <w:bCs/>
          <w:i w:val="0"/>
          <w:szCs w:val="24"/>
        </w:rPr>
        <w:t>to 3 February 2019.</w:t>
      </w:r>
    </w:p>
    <w:p w14:paraId="51A33AA8" w14:textId="479BC9C7" w:rsidR="00E1799F" w:rsidRDefault="00E1799F"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 xml:space="preserve">As the Commission noted in its initial decision, </w:t>
      </w:r>
      <w:r>
        <w:rPr>
          <w:rFonts w:cs="Arial"/>
          <w:i w:val="0"/>
          <w:szCs w:val="24"/>
        </w:rPr>
        <w:t>i</w:t>
      </w:r>
      <w:r w:rsidRPr="00E1799F">
        <w:rPr>
          <w:rFonts w:cs="Arial"/>
          <w:i w:val="0"/>
          <w:szCs w:val="24"/>
        </w:rPr>
        <w:t>t is clear, given the circumstances of the site, that an accessible solution can only be provided as a result of agreement</w:t>
      </w:r>
      <w:r>
        <w:rPr>
          <w:rFonts w:cs="Arial"/>
          <w:i w:val="0"/>
          <w:szCs w:val="24"/>
        </w:rPr>
        <w:t xml:space="preserve"> between TfNSW and IWC</w:t>
      </w:r>
      <w:r w:rsidRPr="00E1799F">
        <w:rPr>
          <w:rFonts w:cs="Arial"/>
          <w:i w:val="0"/>
          <w:szCs w:val="24"/>
        </w:rPr>
        <w:t>.</w:t>
      </w:r>
    </w:p>
    <w:p w14:paraId="5E67FCEB" w14:textId="30B606F2" w:rsidR="00477DD9" w:rsidRDefault="00E1799F"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In light of the request from TfNSW</w:t>
      </w:r>
      <w:r w:rsidR="00ED4ACE">
        <w:rPr>
          <w:rStyle w:val="Strong"/>
          <w:rFonts w:cs="Arial"/>
          <w:b w:val="0"/>
          <w:bCs/>
          <w:i w:val="0"/>
          <w:szCs w:val="24"/>
        </w:rPr>
        <w:t xml:space="preserve"> for an extension of the initial exemption period</w:t>
      </w:r>
      <w:r>
        <w:rPr>
          <w:rStyle w:val="Strong"/>
          <w:rFonts w:cs="Arial"/>
          <w:b w:val="0"/>
          <w:bCs/>
          <w:i w:val="0"/>
          <w:szCs w:val="24"/>
        </w:rPr>
        <w:t xml:space="preserve"> and its assurance that it has engaged with IWC in relation to the development of accessible solutions, the Commission is satisfied that it is appropriate to extend the initial exemption period by 3 months</w:t>
      </w:r>
      <w:r w:rsidR="00CB6C6B">
        <w:rPr>
          <w:rStyle w:val="Strong"/>
          <w:rFonts w:cs="Arial"/>
          <w:b w:val="0"/>
          <w:bCs/>
          <w:i w:val="0"/>
          <w:szCs w:val="24"/>
        </w:rPr>
        <w:t xml:space="preserve"> to 3 February 2019</w:t>
      </w:r>
      <w:r>
        <w:rPr>
          <w:rStyle w:val="Strong"/>
          <w:rFonts w:cs="Arial"/>
          <w:b w:val="0"/>
          <w:bCs/>
          <w:i w:val="0"/>
          <w:szCs w:val="24"/>
        </w:rPr>
        <w:t>.</w:t>
      </w:r>
    </w:p>
    <w:p w14:paraId="5F8ADA56" w14:textId="1B997869" w:rsidR="00336D2B" w:rsidRDefault="00336D2B" w:rsidP="00A332B1">
      <w:pPr>
        <w:pStyle w:val="Heading3"/>
        <w:keepNext w:val="0"/>
        <w:keepLines w:val="0"/>
        <w:numPr>
          <w:ilvl w:val="1"/>
          <w:numId w:val="18"/>
        </w:numPr>
        <w:spacing w:before="240"/>
        <w:rPr>
          <w:rStyle w:val="Strong"/>
          <w:rFonts w:cs="Arial"/>
          <w:b w:val="0"/>
          <w:i w:val="0"/>
          <w:szCs w:val="24"/>
        </w:rPr>
      </w:pPr>
      <w:r w:rsidRPr="00336D2B">
        <w:rPr>
          <w:rStyle w:val="Strong"/>
          <w:rFonts w:cs="Arial"/>
          <w:b w:val="0"/>
          <w:i w:val="0"/>
          <w:szCs w:val="24"/>
        </w:rPr>
        <w:t xml:space="preserve">Pursuant to s 56 of the DDA and s 33A.4 of the Transport Standards, and subject to the </w:t>
      </w:r>
      <w:r w:rsidRPr="00336D2B">
        <w:rPr>
          <w:rStyle w:val="Strong"/>
          <w:rFonts w:cs="Arial"/>
          <w:b w:val="0"/>
          <w:szCs w:val="24"/>
        </w:rPr>
        <w:t>Administrative Appeals Tribunal Act 1975</w:t>
      </w:r>
      <w:r w:rsidRPr="00336D2B">
        <w:rPr>
          <w:rStyle w:val="Strong"/>
          <w:rFonts w:cs="Arial"/>
          <w:b w:val="0"/>
          <w:i w:val="0"/>
          <w:szCs w:val="24"/>
        </w:rPr>
        <w:t xml:space="preserve"> (Cth), an application may be made to the Administrative Appeals Tribunal for a review of the decision to which this notice </w:t>
      </w:r>
      <w:r w:rsidRPr="00336D2B">
        <w:rPr>
          <w:rStyle w:val="Strong"/>
          <w:rFonts w:cs="Arial"/>
          <w:b w:val="0"/>
          <w:i w:val="0"/>
          <w:szCs w:val="24"/>
        </w:rPr>
        <w:lastRenderedPageBreak/>
        <w:t>relates by or on behalf of any person or persons whose interests are affected by the decision.</w:t>
      </w:r>
    </w:p>
    <w:p w14:paraId="602D84D2" w14:textId="56EBEE79" w:rsidR="00D57F10" w:rsidRDefault="00D57F10">
      <w:pPr>
        <w:spacing w:before="0" w:after="0"/>
        <w:rPr>
          <w:noProof/>
        </w:rPr>
      </w:pPr>
    </w:p>
    <w:p w14:paraId="34287279" w14:textId="76B10898" w:rsidR="00235814" w:rsidRDefault="00235814">
      <w:pPr>
        <w:spacing w:before="0" w:after="0"/>
        <w:rPr>
          <w:noProof/>
        </w:rPr>
      </w:pPr>
    </w:p>
    <w:p w14:paraId="00A3A83B" w14:textId="6BEE8DAD" w:rsidR="00235814" w:rsidRDefault="00235814">
      <w:pPr>
        <w:spacing w:before="0" w:after="0"/>
        <w:rPr>
          <w:noProof/>
        </w:rPr>
      </w:pPr>
    </w:p>
    <w:p w14:paraId="39BE078E" w14:textId="77777777" w:rsidR="00235814" w:rsidRDefault="00235814">
      <w:pPr>
        <w:spacing w:before="0" w:after="0"/>
        <w:rPr>
          <w:rFonts w:cs="Arial"/>
        </w:rPr>
      </w:pPr>
    </w:p>
    <w:p w14:paraId="6E28321F" w14:textId="77777777" w:rsidR="00C766D3" w:rsidRPr="003121D5" w:rsidRDefault="00C766D3" w:rsidP="00C766D3">
      <w:pPr>
        <w:pStyle w:val="AddressBlock"/>
        <w:spacing w:before="0"/>
        <w:rPr>
          <w:sz w:val="23"/>
          <w:szCs w:val="23"/>
        </w:rPr>
      </w:pPr>
      <w:r w:rsidRPr="003121D5">
        <w:rPr>
          <w:sz w:val="23"/>
          <w:szCs w:val="23"/>
        </w:rPr>
        <w:t>Emeritus Professor Rosalind Croucher AM</w:t>
      </w:r>
    </w:p>
    <w:p w14:paraId="1717CB92" w14:textId="77777777" w:rsidR="00C766D3" w:rsidRPr="0065560D" w:rsidRDefault="00C766D3" w:rsidP="00C766D3">
      <w:pPr>
        <w:pStyle w:val="AddressBlock"/>
        <w:spacing w:before="0"/>
        <w:rPr>
          <w:rFonts w:cs="Arial"/>
          <w:b/>
          <w:sz w:val="23"/>
          <w:szCs w:val="23"/>
        </w:rPr>
      </w:pPr>
      <w:r w:rsidRPr="003121D5">
        <w:rPr>
          <w:rFonts w:cs="Arial"/>
          <w:b/>
          <w:sz w:val="23"/>
          <w:szCs w:val="23"/>
        </w:rPr>
        <w:t>President</w:t>
      </w:r>
    </w:p>
    <w:p w14:paraId="6A45A3FA" w14:textId="68E348C0" w:rsidR="00C766D3" w:rsidRDefault="00C766D3">
      <w:pPr>
        <w:spacing w:before="0" w:after="0"/>
        <w:rPr>
          <w:rFonts w:cs="Arial"/>
        </w:rPr>
      </w:pPr>
      <w:r>
        <w:rPr>
          <w:rFonts w:cs="Arial"/>
        </w:rPr>
        <w:t>on behalf of the Commission</w:t>
      </w:r>
    </w:p>
    <w:p w14:paraId="726ACEC8" w14:textId="3F332E4E" w:rsidR="007A5886" w:rsidRDefault="007A5886">
      <w:pPr>
        <w:spacing w:before="0" w:after="0"/>
        <w:rPr>
          <w:rFonts w:cs="Arial"/>
        </w:rPr>
      </w:pPr>
    </w:p>
    <w:p w14:paraId="29842FB1" w14:textId="0CAB17F6" w:rsidR="007A5886" w:rsidRDefault="00235814">
      <w:pPr>
        <w:spacing w:before="0" w:after="0"/>
        <w:rPr>
          <w:rFonts w:cs="Arial"/>
        </w:rPr>
      </w:pPr>
      <w:r>
        <w:t xml:space="preserve">   November</w:t>
      </w:r>
      <w:r w:rsidR="007A5886">
        <w:t xml:space="preserve"> 2018</w:t>
      </w:r>
    </w:p>
    <w:p w14:paraId="4940F1A5" w14:textId="319B2DFA" w:rsidR="008736EC" w:rsidRDefault="008736EC">
      <w:pPr>
        <w:spacing w:before="0" w:after="0"/>
        <w:rPr>
          <w:rFonts w:cs="Arial"/>
        </w:rPr>
      </w:pPr>
      <w:r>
        <w:rPr>
          <w:rFonts w:cs="Arial"/>
        </w:rPr>
        <w:br w:type="page"/>
      </w:r>
    </w:p>
    <w:p w14:paraId="6848C4E5" w14:textId="77777777" w:rsidR="008736EC" w:rsidRPr="008736EC" w:rsidRDefault="008736EC" w:rsidP="008736EC">
      <w:pPr>
        <w:spacing w:before="0" w:after="0"/>
        <w:outlineLvl w:val="2"/>
        <w:rPr>
          <w:rFonts w:cs="Arial"/>
          <w:b/>
          <w:bCs/>
          <w:sz w:val="28"/>
        </w:rPr>
      </w:pPr>
      <w:r w:rsidRPr="008736EC">
        <w:rPr>
          <w:rFonts w:cs="Arial"/>
          <w:b/>
          <w:bCs/>
          <w:sz w:val="28"/>
        </w:rPr>
        <w:lastRenderedPageBreak/>
        <w:t>SCHEDULE ONE</w:t>
      </w:r>
      <w:r w:rsidRPr="008736EC">
        <w:rPr>
          <w:rFonts w:cs="Arial"/>
          <w:b/>
          <w:bCs/>
          <w:sz w:val="28"/>
        </w:rPr>
        <w:tab/>
      </w:r>
    </w:p>
    <w:p w14:paraId="4AB6743C" w14:textId="77777777" w:rsidR="008736EC" w:rsidRPr="008736EC" w:rsidRDefault="008736EC" w:rsidP="008736EC">
      <w:pPr>
        <w:spacing w:before="0" w:after="0"/>
        <w:outlineLvl w:val="2"/>
        <w:rPr>
          <w:rFonts w:cs="Arial"/>
          <w:b/>
          <w:bCs/>
          <w:sz w:val="28"/>
        </w:rPr>
      </w:pPr>
    </w:p>
    <w:p w14:paraId="549602FA" w14:textId="454BC3DC" w:rsidR="008736EC" w:rsidRPr="008736EC" w:rsidRDefault="008736EC" w:rsidP="008736EC">
      <w:pPr>
        <w:spacing w:before="0" w:after="0"/>
        <w:outlineLvl w:val="2"/>
        <w:rPr>
          <w:rFonts w:cs="Arial"/>
          <w:b/>
          <w:bCs/>
          <w:sz w:val="28"/>
        </w:rPr>
      </w:pPr>
      <w:r w:rsidRPr="008736EC">
        <w:rPr>
          <w:rFonts w:cs="Arial"/>
          <w:b/>
          <w:bCs/>
          <w:sz w:val="28"/>
        </w:rPr>
        <w:t xml:space="preserve">NOTICE OF </w:t>
      </w:r>
      <w:r w:rsidR="00D57F10" w:rsidRPr="008736EC">
        <w:rPr>
          <w:rFonts w:cs="Arial"/>
          <w:b/>
          <w:bCs/>
          <w:sz w:val="28"/>
        </w:rPr>
        <w:t xml:space="preserve">GRANT </w:t>
      </w:r>
      <w:r w:rsidRPr="008736EC">
        <w:rPr>
          <w:rFonts w:cs="Arial"/>
          <w:b/>
          <w:bCs/>
          <w:sz w:val="28"/>
        </w:rPr>
        <w:t>OF TEMPORARY EXEMPTION</w:t>
      </w:r>
    </w:p>
    <w:p w14:paraId="19FD2137" w14:textId="77777777" w:rsidR="008736EC" w:rsidRPr="008736EC" w:rsidRDefault="008736EC" w:rsidP="008736EC">
      <w:pPr>
        <w:spacing w:before="0" w:after="0"/>
        <w:outlineLvl w:val="2"/>
        <w:rPr>
          <w:rFonts w:cs="Arial"/>
          <w:bCs/>
        </w:rPr>
      </w:pPr>
    </w:p>
    <w:p w14:paraId="1EF00024" w14:textId="117F32D6" w:rsidR="008736EC" w:rsidRPr="008736EC" w:rsidRDefault="008736EC" w:rsidP="008736EC">
      <w:pPr>
        <w:spacing w:before="0" w:after="0"/>
        <w:outlineLvl w:val="2"/>
        <w:rPr>
          <w:rFonts w:cs="Arial"/>
          <w:bCs/>
        </w:rPr>
      </w:pPr>
      <w:r w:rsidRPr="008736EC">
        <w:rPr>
          <w:rFonts w:cs="Arial"/>
          <w:bCs/>
        </w:rPr>
        <w:t>The Commission grant</w:t>
      </w:r>
      <w:r w:rsidR="00A63C89">
        <w:rPr>
          <w:rFonts w:cs="Arial"/>
          <w:bCs/>
        </w:rPr>
        <w:t>s</w:t>
      </w:r>
      <w:r w:rsidRPr="008736EC">
        <w:rPr>
          <w:rFonts w:cs="Arial"/>
          <w:bCs/>
        </w:rPr>
        <w:t xml:space="preserve"> to </w:t>
      </w:r>
      <w:r w:rsidR="00C26E75">
        <w:rPr>
          <w:rFonts w:cs="Arial"/>
          <w:bCs/>
        </w:rPr>
        <w:t>Transport for NSW (TfNSW</w:t>
      </w:r>
      <w:r w:rsidRPr="008736EC">
        <w:rPr>
          <w:rFonts w:cs="Arial"/>
          <w:bCs/>
        </w:rPr>
        <w:t xml:space="preserve">), on the terms and conditions set out in this schedule, a temporary exemption to </w:t>
      </w:r>
      <w:r w:rsidR="00C26E75">
        <w:rPr>
          <w:rFonts w:cs="Arial"/>
          <w:bCs/>
        </w:rPr>
        <w:t xml:space="preserve">ss 2.1 and 2.2 </w:t>
      </w:r>
      <w:r w:rsidRPr="008736EC">
        <w:rPr>
          <w:rFonts w:cs="Arial"/>
          <w:bCs/>
        </w:rPr>
        <w:t xml:space="preserve">of the Transport Standards. </w:t>
      </w:r>
    </w:p>
    <w:p w14:paraId="784231A7" w14:textId="77777777" w:rsidR="008736EC" w:rsidRPr="008736EC" w:rsidRDefault="008736EC" w:rsidP="008736EC">
      <w:pPr>
        <w:spacing w:before="0" w:after="0"/>
        <w:outlineLvl w:val="2"/>
        <w:rPr>
          <w:rFonts w:cs="Arial"/>
          <w:bCs/>
        </w:rPr>
      </w:pPr>
    </w:p>
    <w:p w14:paraId="1E77C5F0" w14:textId="6E8CA180" w:rsidR="008736EC" w:rsidRPr="008736EC" w:rsidRDefault="008736EC" w:rsidP="008736EC">
      <w:pPr>
        <w:spacing w:before="0" w:after="0"/>
        <w:outlineLvl w:val="2"/>
        <w:rPr>
          <w:rFonts w:cs="Arial"/>
          <w:bCs/>
        </w:rPr>
      </w:pPr>
      <w:r w:rsidRPr="008736EC">
        <w:rPr>
          <w:rFonts w:cs="Arial"/>
          <w:bCs/>
        </w:rPr>
        <w:t xml:space="preserve">As well as the terms and conditions specified below, this exemption </w:t>
      </w:r>
      <w:r w:rsidR="00E16682">
        <w:rPr>
          <w:rFonts w:cs="Arial"/>
          <w:bCs/>
        </w:rPr>
        <w:t xml:space="preserve">is </w:t>
      </w:r>
      <w:r w:rsidRPr="008736EC">
        <w:rPr>
          <w:rFonts w:cs="Arial"/>
          <w:bCs/>
        </w:rPr>
        <w:t xml:space="preserve">granted subject to the condition that the Commission may, on its own motion, revoke the exemption if it becomes satisfied that the exemption is no longer justified.  </w:t>
      </w:r>
    </w:p>
    <w:p w14:paraId="73F13BCF" w14:textId="77777777" w:rsidR="008736EC" w:rsidRPr="008736EC" w:rsidRDefault="008736EC" w:rsidP="008736EC">
      <w:pPr>
        <w:spacing w:before="0" w:after="0"/>
        <w:outlineLvl w:val="2"/>
        <w:rPr>
          <w:rFonts w:cs="Arial"/>
          <w:bCs/>
        </w:rPr>
      </w:pPr>
    </w:p>
    <w:p w14:paraId="08907A2D" w14:textId="197F36E7" w:rsidR="008736EC" w:rsidRPr="008736EC" w:rsidRDefault="0038337E" w:rsidP="0038337E">
      <w:pPr>
        <w:spacing w:before="0" w:after="0"/>
        <w:outlineLvl w:val="2"/>
        <w:rPr>
          <w:rFonts w:cs="Arial"/>
          <w:bCs/>
        </w:rPr>
      </w:pPr>
      <w:r w:rsidRPr="008736EC">
        <w:rPr>
          <w:rFonts w:cs="Arial"/>
          <w:bCs/>
        </w:rPr>
        <w:t xml:space="preserve">The exemption </w:t>
      </w:r>
      <w:r>
        <w:rPr>
          <w:rFonts w:cs="Arial"/>
          <w:bCs/>
        </w:rPr>
        <w:t>is</w:t>
      </w:r>
      <w:r w:rsidRPr="008736EC">
        <w:rPr>
          <w:rFonts w:cs="Arial"/>
          <w:bCs/>
        </w:rPr>
        <w:t xml:space="preserve"> granted </w:t>
      </w:r>
      <w:r>
        <w:rPr>
          <w:rFonts w:cs="Arial"/>
          <w:bCs/>
        </w:rPr>
        <w:t xml:space="preserve">for an initial period </w:t>
      </w:r>
      <w:r w:rsidR="00235814">
        <w:rPr>
          <w:rFonts w:cs="Arial"/>
          <w:bCs/>
        </w:rPr>
        <w:t>until 3 February 2019</w:t>
      </w:r>
      <w:r>
        <w:rPr>
          <w:rFonts w:cs="Arial"/>
          <w:bCs/>
        </w:rPr>
        <w:t xml:space="preserve"> and then for a further period of 24 months if the conditions specified in the exemption are satisfied</w:t>
      </w:r>
      <w:r w:rsidRPr="008736EC">
        <w:rPr>
          <w:rFonts w:cs="Arial"/>
          <w:bCs/>
        </w:rPr>
        <w:t>.</w:t>
      </w:r>
    </w:p>
    <w:p w14:paraId="29ABBB22" w14:textId="77777777" w:rsidR="008736EC" w:rsidRPr="008736EC" w:rsidRDefault="008736EC" w:rsidP="008736EC">
      <w:pPr>
        <w:spacing w:before="0" w:after="0"/>
        <w:outlineLvl w:val="2"/>
        <w:rPr>
          <w:rFonts w:cs="Arial"/>
          <w:bCs/>
        </w:rPr>
      </w:pPr>
    </w:p>
    <w:p w14:paraId="1EC9193A" w14:textId="4B05CC44" w:rsidR="008736EC" w:rsidRDefault="008736EC" w:rsidP="008736EC">
      <w:pPr>
        <w:spacing w:before="0" w:after="0"/>
        <w:outlineLvl w:val="2"/>
        <w:rPr>
          <w:rFonts w:cs="Arial"/>
          <w:bCs/>
        </w:rPr>
      </w:pPr>
      <w:r w:rsidRPr="008736EC">
        <w:rPr>
          <w:rFonts w:cs="Arial"/>
          <w:bCs/>
        </w:rPr>
        <w:t xml:space="preserve">Pursuant to </w:t>
      </w:r>
      <w:r w:rsidR="00B2405D">
        <w:rPr>
          <w:rFonts w:cs="Arial"/>
          <w:bCs/>
        </w:rPr>
        <w:t>s</w:t>
      </w:r>
      <w:r w:rsidR="00E16682">
        <w:rPr>
          <w:rFonts w:cs="Arial"/>
          <w:bCs/>
        </w:rPr>
        <w:t> </w:t>
      </w:r>
      <w:r w:rsidRPr="008736EC">
        <w:rPr>
          <w:rFonts w:cs="Arial"/>
          <w:bCs/>
        </w:rPr>
        <w:t>34</w:t>
      </w:r>
      <w:r w:rsidR="00E15738">
        <w:rPr>
          <w:rFonts w:cs="Arial"/>
          <w:bCs/>
        </w:rPr>
        <w:t>.1(1)</w:t>
      </w:r>
      <w:r w:rsidRPr="008736EC">
        <w:rPr>
          <w:rFonts w:cs="Arial"/>
          <w:bCs/>
        </w:rPr>
        <w:t xml:space="preserve"> of the Transport Standards, the Transport Standards are subject to review every five years. If, at any time following this decision, the Transport Standards are remade in an amended form, any exemption granted from a section of the Standards that is amended will cease operation at the time the amendment comes into effect.  </w:t>
      </w:r>
    </w:p>
    <w:p w14:paraId="206F5038" w14:textId="77777777" w:rsidR="008736EC" w:rsidRPr="008736EC" w:rsidRDefault="008736EC" w:rsidP="008736EC">
      <w:pPr>
        <w:spacing w:before="0" w:after="0"/>
        <w:outlineLvl w:val="2"/>
        <w:rPr>
          <w:rFonts w:cs="Arial"/>
          <w:bCs/>
        </w:rPr>
      </w:pPr>
    </w:p>
    <w:p w14:paraId="23D98F34" w14:textId="18AC9F02" w:rsidR="008736EC" w:rsidRPr="008736EC" w:rsidRDefault="008736EC" w:rsidP="008736EC">
      <w:pPr>
        <w:spacing w:before="0" w:after="0"/>
        <w:outlineLvl w:val="2"/>
        <w:rPr>
          <w:rFonts w:cs="Arial"/>
          <w:bCs/>
        </w:rPr>
      </w:pPr>
      <w:r w:rsidRPr="008736EC">
        <w:rPr>
          <w:rFonts w:cs="Arial"/>
          <w:bCs/>
        </w:rPr>
        <w:t>The relevant standard</w:t>
      </w:r>
      <w:r w:rsidR="00346BB9">
        <w:rPr>
          <w:rFonts w:cs="Arial"/>
          <w:bCs/>
        </w:rPr>
        <w:t>s are</w:t>
      </w:r>
      <w:r w:rsidRPr="008736EC">
        <w:rPr>
          <w:rFonts w:cs="Arial"/>
          <w:bCs/>
        </w:rPr>
        <w:t xml:space="preserve"> reproduced below, followed by the exemption that </w:t>
      </w:r>
      <w:r w:rsidR="00E16682">
        <w:rPr>
          <w:rFonts w:cs="Arial"/>
          <w:bCs/>
        </w:rPr>
        <w:t xml:space="preserve">is </w:t>
      </w:r>
      <w:r w:rsidRPr="008736EC">
        <w:rPr>
          <w:rFonts w:cs="Arial"/>
          <w:bCs/>
        </w:rPr>
        <w:t xml:space="preserve">granted and the terms and conditions to which the grant </w:t>
      </w:r>
      <w:r w:rsidR="00E16682">
        <w:rPr>
          <w:rFonts w:cs="Arial"/>
          <w:bCs/>
        </w:rPr>
        <w:t xml:space="preserve">is </w:t>
      </w:r>
      <w:r w:rsidRPr="008736EC">
        <w:rPr>
          <w:rFonts w:cs="Arial"/>
          <w:bCs/>
        </w:rPr>
        <w:t xml:space="preserve">subject.  </w:t>
      </w:r>
    </w:p>
    <w:p w14:paraId="6C577C27" w14:textId="77777777" w:rsidR="008736EC" w:rsidRPr="008736EC" w:rsidRDefault="008736EC" w:rsidP="008736EC">
      <w:pPr>
        <w:spacing w:before="0" w:after="0"/>
        <w:outlineLvl w:val="2"/>
        <w:rPr>
          <w:rFonts w:cs="Arial"/>
          <w:bCs/>
        </w:rPr>
      </w:pPr>
    </w:p>
    <w:p w14:paraId="7342E232" w14:textId="6F1A4FC3" w:rsidR="008736EC" w:rsidRPr="008736EC" w:rsidRDefault="008736EC" w:rsidP="008736EC">
      <w:pPr>
        <w:spacing w:before="0" w:after="0"/>
        <w:outlineLvl w:val="2"/>
        <w:rPr>
          <w:rFonts w:cs="Arial"/>
          <w:b/>
          <w:bCs/>
          <w:sz w:val="28"/>
        </w:rPr>
      </w:pPr>
      <w:r w:rsidRPr="008736EC">
        <w:rPr>
          <w:rFonts w:cs="Arial"/>
          <w:b/>
          <w:bCs/>
          <w:sz w:val="28"/>
        </w:rPr>
        <w:t>EXEMPTION FROM SECTION</w:t>
      </w:r>
      <w:r w:rsidR="00346BB9">
        <w:rPr>
          <w:rFonts w:cs="Arial"/>
          <w:b/>
          <w:bCs/>
          <w:sz w:val="28"/>
        </w:rPr>
        <w:t>S</w:t>
      </w:r>
      <w:r w:rsidRPr="008736EC">
        <w:rPr>
          <w:rFonts w:cs="Arial"/>
          <w:b/>
          <w:bCs/>
          <w:sz w:val="28"/>
        </w:rPr>
        <w:t xml:space="preserve"> </w:t>
      </w:r>
      <w:r w:rsidR="00D2277F">
        <w:rPr>
          <w:rFonts w:cs="Arial"/>
          <w:b/>
          <w:bCs/>
          <w:sz w:val="28"/>
        </w:rPr>
        <w:t>2.1</w:t>
      </w:r>
      <w:r w:rsidRPr="008736EC">
        <w:rPr>
          <w:rFonts w:cs="Arial"/>
          <w:b/>
          <w:bCs/>
          <w:sz w:val="28"/>
        </w:rPr>
        <w:t xml:space="preserve"> </w:t>
      </w:r>
      <w:r w:rsidR="00346BB9">
        <w:rPr>
          <w:rFonts w:cs="Arial"/>
          <w:b/>
          <w:bCs/>
          <w:sz w:val="28"/>
        </w:rPr>
        <w:t xml:space="preserve">and 2.2 </w:t>
      </w:r>
      <w:r w:rsidRPr="008736EC">
        <w:rPr>
          <w:rFonts w:cs="Arial"/>
          <w:b/>
          <w:bCs/>
          <w:sz w:val="28"/>
        </w:rPr>
        <w:t>OF THE TRANSPORT STANDARDS</w:t>
      </w:r>
    </w:p>
    <w:p w14:paraId="67EC8615" w14:textId="77777777" w:rsidR="008736EC" w:rsidRPr="008736EC" w:rsidRDefault="008736EC" w:rsidP="008736EC">
      <w:pPr>
        <w:spacing w:before="0" w:after="0"/>
        <w:rPr>
          <w:rFonts w:cs="Arial"/>
          <w:lang w:eastAsia="en-US"/>
        </w:rPr>
      </w:pPr>
      <w:bookmarkStart w:id="0" w:name="_Toc103579041"/>
    </w:p>
    <w:p w14:paraId="77E0BF73" w14:textId="77777777" w:rsidR="008736EC" w:rsidRPr="008736EC" w:rsidRDefault="008736EC" w:rsidP="008736EC">
      <w:pPr>
        <w:keepNext/>
        <w:pBdr>
          <w:top w:val="single" w:sz="24" w:space="1" w:color="auto"/>
        </w:pBdr>
        <w:spacing w:before="0" w:after="0"/>
        <w:ind w:left="851" w:hanging="851"/>
        <w:rPr>
          <w:rFonts w:cs="Arial"/>
          <w:b/>
          <w:noProof/>
          <w:sz w:val="28"/>
          <w:lang w:eastAsia="en-US"/>
        </w:rPr>
      </w:pPr>
      <w:bookmarkStart w:id="1" w:name="_Toc103579072"/>
      <w:bookmarkStart w:id="2" w:name="_GoBack"/>
      <w:bookmarkEnd w:id="0"/>
      <w:bookmarkEnd w:id="2"/>
    </w:p>
    <w:p w14:paraId="3DDC8B50" w14:textId="5394FBE3" w:rsidR="00D2277F" w:rsidRPr="00D2277F" w:rsidRDefault="00D2277F" w:rsidP="00D2277F">
      <w:pPr>
        <w:shd w:val="clear" w:color="auto" w:fill="FFFFFF"/>
        <w:spacing w:before="100" w:beforeAutospacing="1" w:after="100" w:afterAutospacing="1"/>
        <w:rPr>
          <w:rFonts w:cs="Arial"/>
          <w:b/>
        </w:rPr>
      </w:pPr>
      <w:bookmarkStart w:id="3" w:name="_Toc291754876"/>
      <w:bookmarkEnd w:id="1"/>
      <w:r w:rsidRPr="00D2277F">
        <w:rPr>
          <w:rFonts w:cs="Arial"/>
          <w:b/>
        </w:rPr>
        <w:t>2.1</w:t>
      </w:r>
      <w:r w:rsidRPr="00D2277F">
        <w:rPr>
          <w:rFonts w:cs="Arial"/>
          <w:b/>
        </w:rPr>
        <w:tab/>
        <w:t>Unhindered passage</w:t>
      </w:r>
      <w:bookmarkEnd w:id="3"/>
    </w:p>
    <w:p w14:paraId="50D94D36" w14:textId="1179E268" w:rsidR="00D2277F" w:rsidRPr="00D2277F" w:rsidRDefault="00D2277F" w:rsidP="00D2277F">
      <w:pPr>
        <w:keepNext/>
        <w:shd w:val="clear" w:color="auto" w:fill="FFFFFF"/>
        <w:spacing w:before="100" w:beforeAutospacing="1" w:after="100" w:afterAutospacing="1"/>
        <w:ind w:left="1440" w:hanging="720"/>
        <w:rPr>
          <w:rFonts w:cs="Arial"/>
        </w:rPr>
      </w:pPr>
      <w:r w:rsidRPr="00D2277F">
        <w:rPr>
          <w:rFonts w:cs="Arial"/>
        </w:rPr>
        <w:t>(1)</w:t>
      </w:r>
      <w:r w:rsidRPr="00D2277F">
        <w:rPr>
          <w:rFonts w:cs="Arial"/>
        </w:rPr>
        <w:tab/>
        <w:t>An access path that allows unhindered passage must be provided along a walkway, ramp or landing.</w:t>
      </w:r>
    </w:p>
    <w:p w14:paraId="3B73DF98" w14:textId="487F0D78" w:rsidR="00D2277F" w:rsidRPr="00D2277F" w:rsidRDefault="00D2277F" w:rsidP="00D2277F">
      <w:pPr>
        <w:keepNext/>
        <w:shd w:val="clear" w:color="auto" w:fill="FFFFFF"/>
        <w:spacing w:before="100" w:beforeAutospacing="1" w:after="100" w:afterAutospacing="1"/>
        <w:ind w:firstLine="720"/>
        <w:rPr>
          <w:rFonts w:cs="Arial"/>
        </w:rPr>
      </w:pPr>
      <w:r w:rsidRPr="00D2277F">
        <w:rPr>
          <w:rFonts w:cs="Arial"/>
        </w:rPr>
        <w:t>(2)</w:t>
      </w:r>
      <w:r w:rsidRPr="00D2277F">
        <w:rPr>
          <w:rFonts w:cs="Arial"/>
        </w:rPr>
        <w:tab/>
        <w:t xml:space="preserve">An access path must comply with </w:t>
      </w:r>
      <w:r w:rsidRPr="00D2277F">
        <w:rPr>
          <w:rFonts w:cs="Arial"/>
          <w:b/>
          <w:bCs/>
        </w:rPr>
        <w:t>AS1428.2 (1992) Clause 8.1</w:t>
      </w:r>
      <w:r w:rsidRPr="00D2277F">
        <w:rPr>
          <w:rFonts w:cs="Arial"/>
        </w:rPr>
        <w:t>.</w:t>
      </w:r>
    </w:p>
    <w:tbl>
      <w:tblPr>
        <w:tblW w:w="0" w:type="auto"/>
        <w:tblInd w:w="1101" w:type="dxa"/>
        <w:tblCellMar>
          <w:left w:w="0" w:type="dxa"/>
          <w:right w:w="0" w:type="dxa"/>
        </w:tblCellMar>
        <w:tblLook w:val="04A0" w:firstRow="1" w:lastRow="0" w:firstColumn="1" w:lastColumn="0" w:noHBand="0" w:noVBand="1"/>
      </w:tblPr>
      <w:tblGrid>
        <w:gridCol w:w="2475"/>
        <w:gridCol w:w="2475"/>
        <w:gridCol w:w="2475"/>
      </w:tblGrid>
      <w:tr w:rsidR="00D2277F" w:rsidRPr="00D2277F" w14:paraId="16740A0A" w14:textId="77777777" w:rsidTr="00D2277F">
        <w:trPr>
          <w:cantSplit/>
        </w:trPr>
        <w:tc>
          <w:tcPr>
            <w:tcW w:w="2475" w:type="dxa"/>
            <w:tcMar>
              <w:top w:w="0" w:type="dxa"/>
              <w:left w:w="108" w:type="dxa"/>
              <w:bottom w:w="0" w:type="dxa"/>
              <w:right w:w="108" w:type="dxa"/>
            </w:tcMar>
            <w:hideMark/>
          </w:tcPr>
          <w:p w14:paraId="58590997" w14:textId="54866D7D" w:rsidR="00D2277F" w:rsidRPr="00D2277F" w:rsidRDefault="00D2277F" w:rsidP="00D2277F">
            <w:pPr>
              <w:spacing w:before="100" w:beforeAutospacing="1" w:after="100" w:afterAutospacing="1"/>
              <w:rPr>
                <w:rFonts w:cs="Arial"/>
              </w:rPr>
            </w:pPr>
          </w:p>
        </w:tc>
        <w:tc>
          <w:tcPr>
            <w:tcW w:w="2475" w:type="dxa"/>
            <w:tcMar>
              <w:top w:w="0" w:type="dxa"/>
              <w:left w:w="108" w:type="dxa"/>
              <w:bottom w:w="0" w:type="dxa"/>
              <w:right w:w="108" w:type="dxa"/>
            </w:tcMar>
            <w:hideMark/>
          </w:tcPr>
          <w:p w14:paraId="6AD1CA7B" w14:textId="77777777" w:rsidR="00D2277F" w:rsidRPr="00D2277F" w:rsidRDefault="00D2277F" w:rsidP="00D2277F">
            <w:pPr>
              <w:spacing w:before="100" w:beforeAutospacing="1" w:after="100" w:afterAutospacing="1"/>
              <w:rPr>
                <w:rFonts w:cs="Arial"/>
                <w:b/>
              </w:rPr>
            </w:pPr>
            <w:r w:rsidRPr="00D2277F">
              <w:rPr>
                <w:rFonts w:cs="Arial"/>
                <w:b/>
              </w:rPr>
              <w:t>Premises</w:t>
            </w:r>
          </w:p>
        </w:tc>
        <w:tc>
          <w:tcPr>
            <w:tcW w:w="2475" w:type="dxa"/>
            <w:tcMar>
              <w:top w:w="0" w:type="dxa"/>
              <w:left w:w="108" w:type="dxa"/>
              <w:bottom w:w="0" w:type="dxa"/>
              <w:right w:w="108" w:type="dxa"/>
            </w:tcMar>
            <w:hideMark/>
          </w:tcPr>
          <w:p w14:paraId="0D51CEB7" w14:textId="77777777" w:rsidR="00D2277F" w:rsidRPr="00D2277F" w:rsidRDefault="00D2277F" w:rsidP="00D2277F">
            <w:pPr>
              <w:spacing w:before="100" w:beforeAutospacing="1" w:after="100" w:afterAutospacing="1"/>
              <w:rPr>
                <w:rFonts w:cs="Arial"/>
                <w:b/>
              </w:rPr>
            </w:pPr>
            <w:r w:rsidRPr="00D2277F">
              <w:rPr>
                <w:rFonts w:cs="Arial"/>
                <w:b/>
              </w:rPr>
              <w:t>Infrastructure</w:t>
            </w:r>
          </w:p>
        </w:tc>
      </w:tr>
      <w:tr w:rsidR="00D2277F" w:rsidRPr="00D2277F" w14:paraId="3E7A057B" w14:textId="77777777" w:rsidTr="00D2277F">
        <w:trPr>
          <w:cantSplit/>
        </w:trPr>
        <w:tc>
          <w:tcPr>
            <w:tcW w:w="2475" w:type="dxa"/>
            <w:tcBorders>
              <w:top w:val="nil"/>
              <w:left w:val="nil"/>
              <w:bottom w:val="single" w:sz="8" w:space="0" w:color="auto"/>
              <w:right w:val="nil"/>
            </w:tcBorders>
            <w:tcMar>
              <w:top w:w="0" w:type="dxa"/>
              <w:left w:w="108" w:type="dxa"/>
              <w:bottom w:w="0" w:type="dxa"/>
              <w:right w:w="108" w:type="dxa"/>
            </w:tcMar>
            <w:hideMark/>
          </w:tcPr>
          <w:p w14:paraId="7CB1E703" w14:textId="782C3506" w:rsidR="00D2277F" w:rsidRPr="00D2277F" w:rsidRDefault="00D2277F" w:rsidP="00D2277F">
            <w:pPr>
              <w:spacing w:before="100" w:beforeAutospacing="1" w:after="100" w:afterAutospacing="1"/>
              <w:rPr>
                <w:rFonts w:cs="Arial"/>
              </w:rPr>
            </w:pPr>
          </w:p>
        </w:tc>
        <w:tc>
          <w:tcPr>
            <w:tcW w:w="2475" w:type="dxa"/>
            <w:tcBorders>
              <w:top w:val="nil"/>
              <w:left w:val="nil"/>
              <w:bottom w:val="single" w:sz="8" w:space="0" w:color="auto"/>
              <w:right w:val="nil"/>
            </w:tcBorders>
            <w:tcMar>
              <w:top w:w="0" w:type="dxa"/>
              <w:left w:w="108" w:type="dxa"/>
              <w:bottom w:w="0" w:type="dxa"/>
              <w:right w:w="108" w:type="dxa"/>
            </w:tcMar>
            <w:hideMark/>
          </w:tcPr>
          <w:p w14:paraId="4FF865EF" w14:textId="77777777" w:rsidR="00D2277F" w:rsidRPr="00D2277F" w:rsidRDefault="00D2277F" w:rsidP="00D2277F">
            <w:pPr>
              <w:spacing w:before="100" w:beforeAutospacing="1" w:after="100" w:afterAutospacing="1"/>
              <w:rPr>
                <w:rFonts w:cs="Arial"/>
              </w:rPr>
            </w:pPr>
            <w:r w:rsidRPr="00D2277F">
              <w:rPr>
                <w:rFonts w:cs="Arial"/>
              </w:rPr>
              <w:t>except premises to which the Premises Standards apply</w:t>
            </w:r>
          </w:p>
        </w:tc>
        <w:tc>
          <w:tcPr>
            <w:tcW w:w="2475" w:type="dxa"/>
            <w:tcBorders>
              <w:top w:val="nil"/>
              <w:left w:val="nil"/>
              <w:bottom w:val="single" w:sz="8" w:space="0" w:color="auto"/>
              <w:right w:val="nil"/>
            </w:tcBorders>
            <w:tcMar>
              <w:top w:w="0" w:type="dxa"/>
              <w:left w:w="108" w:type="dxa"/>
              <w:bottom w:w="0" w:type="dxa"/>
              <w:right w:w="108" w:type="dxa"/>
            </w:tcMar>
            <w:hideMark/>
          </w:tcPr>
          <w:p w14:paraId="076B67CE" w14:textId="77777777" w:rsidR="00D2277F" w:rsidRPr="00D2277F" w:rsidRDefault="00D2277F" w:rsidP="00D2277F">
            <w:pPr>
              <w:spacing w:before="100" w:beforeAutospacing="1" w:after="100" w:afterAutospacing="1"/>
              <w:rPr>
                <w:rFonts w:cs="Arial"/>
              </w:rPr>
            </w:pPr>
            <w:r w:rsidRPr="00D2277F">
              <w:rPr>
                <w:rFonts w:cs="Arial"/>
              </w:rPr>
              <w:t>except airports that do not accept regular public transport services</w:t>
            </w:r>
          </w:p>
        </w:tc>
      </w:tr>
    </w:tbl>
    <w:p w14:paraId="6AF28763" w14:textId="4E654ACD" w:rsidR="00D2277F" w:rsidRPr="00D2277F" w:rsidRDefault="00D2277F" w:rsidP="00D2277F">
      <w:pPr>
        <w:shd w:val="clear" w:color="auto" w:fill="FFFFFF"/>
        <w:spacing w:before="100" w:beforeAutospacing="1" w:after="100" w:afterAutospacing="1"/>
        <w:rPr>
          <w:rFonts w:cs="Arial"/>
          <w:b/>
        </w:rPr>
      </w:pPr>
      <w:bookmarkStart w:id="4" w:name="_Toc291754877"/>
      <w:r w:rsidRPr="00D2277F">
        <w:rPr>
          <w:rFonts w:cs="Arial"/>
          <w:b/>
        </w:rPr>
        <w:t>2.2</w:t>
      </w:r>
      <w:r w:rsidRPr="00D2277F">
        <w:rPr>
          <w:rFonts w:cs="Arial"/>
          <w:b/>
        </w:rPr>
        <w:tab/>
        <w:t>Continuous accessibility</w:t>
      </w:r>
      <w:bookmarkEnd w:id="4"/>
    </w:p>
    <w:p w14:paraId="7540DFBE" w14:textId="591C080F" w:rsidR="00D2277F" w:rsidRPr="00D2277F" w:rsidRDefault="00D2277F" w:rsidP="00D2277F">
      <w:pPr>
        <w:keepNext/>
        <w:shd w:val="clear" w:color="auto" w:fill="FFFFFF"/>
        <w:spacing w:before="100" w:beforeAutospacing="1" w:after="100" w:afterAutospacing="1"/>
        <w:ind w:left="720"/>
        <w:rPr>
          <w:rFonts w:cs="Arial"/>
        </w:rPr>
      </w:pPr>
      <w:r w:rsidRPr="00D2277F">
        <w:rPr>
          <w:rFonts w:cs="Arial"/>
        </w:rPr>
        <w:t xml:space="preserve">An access path must comply with </w:t>
      </w:r>
      <w:r w:rsidRPr="00D2277F">
        <w:rPr>
          <w:rFonts w:cs="Arial"/>
          <w:b/>
          <w:bCs/>
        </w:rPr>
        <w:t>AS1428.2 (1992) Clause 7</w:t>
      </w:r>
      <w:r w:rsidRPr="00D2277F">
        <w:rPr>
          <w:rFonts w:cs="Arial"/>
        </w:rPr>
        <w:t xml:space="preserve">, </w:t>
      </w:r>
      <w:r w:rsidRPr="00D2277F">
        <w:rPr>
          <w:rFonts w:cs="Arial"/>
          <w:i/>
          <w:iCs/>
        </w:rPr>
        <w:t>Continuous accessible path of travel</w:t>
      </w:r>
      <w:r w:rsidRPr="00D2277F">
        <w:rPr>
          <w:rFonts w:cs="Arial"/>
        </w:rPr>
        <w:t xml:space="preserve">. </w:t>
      </w:r>
    </w:p>
    <w:tbl>
      <w:tblPr>
        <w:tblW w:w="0" w:type="auto"/>
        <w:tblInd w:w="1101" w:type="dxa"/>
        <w:tblCellMar>
          <w:left w:w="0" w:type="dxa"/>
          <w:right w:w="0" w:type="dxa"/>
        </w:tblCellMar>
        <w:tblLook w:val="04A0" w:firstRow="1" w:lastRow="0" w:firstColumn="1" w:lastColumn="0" w:noHBand="0" w:noVBand="1"/>
      </w:tblPr>
      <w:tblGrid>
        <w:gridCol w:w="2475"/>
        <w:gridCol w:w="2475"/>
        <w:gridCol w:w="2475"/>
      </w:tblGrid>
      <w:tr w:rsidR="00D2277F" w:rsidRPr="00D2277F" w14:paraId="29BD1689" w14:textId="77777777" w:rsidTr="00D2277F">
        <w:trPr>
          <w:cantSplit/>
        </w:trPr>
        <w:tc>
          <w:tcPr>
            <w:tcW w:w="2475" w:type="dxa"/>
            <w:tcMar>
              <w:top w:w="0" w:type="dxa"/>
              <w:left w:w="108" w:type="dxa"/>
              <w:bottom w:w="0" w:type="dxa"/>
              <w:right w:w="108" w:type="dxa"/>
            </w:tcMar>
            <w:hideMark/>
          </w:tcPr>
          <w:p w14:paraId="72DD3AC9" w14:textId="77777777" w:rsidR="00D2277F" w:rsidRPr="00D2277F" w:rsidRDefault="00D2277F" w:rsidP="00D2277F">
            <w:pPr>
              <w:spacing w:before="100" w:beforeAutospacing="1" w:after="100" w:afterAutospacing="1"/>
              <w:rPr>
                <w:rFonts w:cs="Arial"/>
              </w:rPr>
            </w:pPr>
            <w:r w:rsidRPr="00D2277F">
              <w:rPr>
                <w:rFonts w:cs="Arial"/>
              </w:rPr>
              <w:t> </w:t>
            </w:r>
          </w:p>
        </w:tc>
        <w:tc>
          <w:tcPr>
            <w:tcW w:w="2475" w:type="dxa"/>
            <w:tcMar>
              <w:top w:w="0" w:type="dxa"/>
              <w:left w:w="108" w:type="dxa"/>
              <w:bottom w:w="0" w:type="dxa"/>
              <w:right w:w="108" w:type="dxa"/>
            </w:tcMar>
            <w:hideMark/>
          </w:tcPr>
          <w:p w14:paraId="2C252576" w14:textId="77777777" w:rsidR="00D2277F" w:rsidRPr="00D2277F" w:rsidRDefault="00D2277F" w:rsidP="00D2277F">
            <w:pPr>
              <w:spacing w:before="100" w:beforeAutospacing="1" w:after="100" w:afterAutospacing="1"/>
              <w:rPr>
                <w:rFonts w:cs="Arial"/>
                <w:b/>
              </w:rPr>
            </w:pPr>
            <w:r w:rsidRPr="00D2277F">
              <w:rPr>
                <w:rFonts w:cs="Arial"/>
                <w:b/>
              </w:rPr>
              <w:t>Premises</w:t>
            </w:r>
          </w:p>
        </w:tc>
        <w:tc>
          <w:tcPr>
            <w:tcW w:w="2475" w:type="dxa"/>
            <w:tcMar>
              <w:top w:w="0" w:type="dxa"/>
              <w:left w:w="108" w:type="dxa"/>
              <w:bottom w:w="0" w:type="dxa"/>
              <w:right w:w="108" w:type="dxa"/>
            </w:tcMar>
            <w:hideMark/>
          </w:tcPr>
          <w:p w14:paraId="281ADDD6" w14:textId="77777777" w:rsidR="00D2277F" w:rsidRPr="00D2277F" w:rsidRDefault="00D2277F" w:rsidP="00D2277F">
            <w:pPr>
              <w:spacing w:before="100" w:beforeAutospacing="1" w:after="100" w:afterAutospacing="1"/>
              <w:rPr>
                <w:rFonts w:cs="Arial"/>
                <w:b/>
              </w:rPr>
            </w:pPr>
            <w:r w:rsidRPr="00D2277F">
              <w:rPr>
                <w:rFonts w:cs="Arial"/>
                <w:b/>
              </w:rPr>
              <w:t>Infrastructure</w:t>
            </w:r>
          </w:p>
        </w:tc>
      </w:tr>
      <w:tr w:rsidR="00D2277F" w:rsidRPr="00D2277F" w14:paraId="4722D460" w14:textId="77777777" w:rsidTr="00D2277F">
        <w:trPr>
          <w:cantSplit/>
        </w:trPr>
        <w:tc>
          <w:tcPr>
            <w:tcW w:w="2475" w:type="dxa"/>
            <w:tcBorders>
              <w:top w:val="nil"/>
              <w:left w:val="nil"/>
              <w:bottom w:val="single" w:sz="8" w:space="0" w:color="auto"/>
              <w:right w:val="nil"/>
            </w:tcBorders>
            <w:tcMar>
              <w:top w:w="0" w:type="dxa"/>
              <w:left w:w="108" w:type="dxa"/>
              <w:bottom w:w="0" w:type="dxa"/>
              <w:right w:w="108" w:type="dxa"/>
            </w:tcMar>
            <w:hideMark/>
          </w:tcPr>
          <w:p w14:paraId="56165DA9" w14:textId="77777777" w:rsidR="00D2277F" w:rsidRPr="00D2277F" w:rsidRDefault="00D2277F" w:rsidP="00D2277F">
            <w:pPr>
              <w:spacing w:before="100" w:beforeAutospacing="1" w:after="100" w:afterAutospacing="1"/>
              <w:rPr>
                <w:rFonts w:cs="Arial"/>
              </w:rPr>
            </w:pPr>
            <w:r w:rsidRPr="00D2277F">
              <w:rPr>
                <w:rFonts w:cs="Arial"/>
              </w:rPr>
              <w:t> </w:t>
            </w:r>
          </w:p>
        </w:tc>
        <w:tc>
          <w:tcPr>
            <w:tcW w:w="2475" w:type="dxa"/>
            <w:tcBorders>
              <w:top w:val="nil"/>
              <w:left w:val="nil"/>
              <w:bottom w:val="single" w:sz="8" w:space="0" w:color="auto"/>
              <w:right w:val="nil"/>
            </w:tcBorders>
            <w:tcMar>
              <w:top w:w="0" w:type="dxa"/>
              <w:left w:w="108" w:type="dxa"/>
              <w:bottom w:w="0" w:type="dxa"/>
              <w:right w:w="108" w:type="dxa"/>
            </w:tcMar>
            <w:hideMark/>
          </w:tcPr>
          <w:p w14:paraId="3313F8B5" w14:textId="77777777" w:rsidR="00D2277F" w:rsidRPr="00D2277F" w:rsidRDefault="00D2277F" w:rsidP="00D2277F">
            <w:pPr>
              <w:spacing w:before="100" w:beforeAutospacing="1" w:after="100" w:afterAutospacing="1"/>
              <w:rPr>
                <w:rFonts w:cs="Arial"/>
              </w:rPr>
            </w:pPr>
            <w:r w:rsidRPr="00D2277F">
              <w:rPr>
                <w:rFonts w:cs="Arial"/>
              </w:rPr>
              <w:t>except premises to which the Premises Standards apply</w:t>
            </w:r>
          </w:p>
        </w:tc>
        <w:tc>
          <w:tcPr>
            <w:tcW w:w="2475" w:type="dxa"/>
            <w:tcBorders>
              <w:top w:val="nil"/>
              <w:left w:val="nil"/>
              <w:bottom w:val="single" w:sz="8" w:space="0" w:color="auto"/>
              <w:right w:val="nil"/>
            </w:tcBorders>
            <w:tcMar>
              <w:top w:w="0" w:type="dxa"/>
              <w:left w:w="108" w:type="dxa"/>
              <w:bottom w:w="0" w:type="dxa"/>
              <w:right w:w="108" w:type="dxa"/>
            </w:tcMar>
            <w:hideMark/>
          </w:tcPr>
          <w:p w14:paraId="20390934" w14:textId="77777777" w:rsidR="00D2277F" w:rsidRPr="00D2277F" w:rsidRDefault="00D2277F" w:rsidP="00D2277F">
            <w:pPr>
              <w:spacing w:before="100" w:beforeAutospacing="1" w:after="100" w:afterAutospacing="1"/>
              <w:rPr>
                <w:rFonts w:cs="Arial"/>
              </w:rPr>
            </w:pPr>
            <w:r w:rsidRPr="00D2277F">
              <w:rPr>
                <w:rFonts w:cs="Arial"/>
              </w:rPr>
              <w:t>except airports that do not accept regular public transport services</w:t>
            </w:r>
          </w:p>
        </w:tc>
      </w:tr>
    </w:tbl>
    <w:p w14:paraId="274E2C81" w14:textId="7E5B5659" w:rsidR="00D22C6F" w:rsidRPr="008736EC" w:rsidRDefault="00D22C6F" w:rsidP="00235814">
      <w:pPr>
        <w:keepNext/>
        <w:spacing w:before="0" w:after="0"/>
        <w:rPr>
          <w:rFonts w:cs="Arial"/>
          <w:b/>
          <w:iCs/>
        </w:rPr>
      </w:pPr>
      <w:r w:rsidRPr="008736EC">
        <w:rPr>
          <w:rFonts w:cs="Arial"/>
          <w:b/>
          <w:iCs/>
        </w:rPr>
        <w:lastRenderedPageBreak/>
        <w:t xml:space="preserve">Temporary exemption: </w:t>
      </w:r>
      <w:r>
        <w:rPr>
          <w:rFonts w:cs="Arial"/>
          <w:b/>
          <w:iCs/>
        </w:rPr>
        <w:t>ferry infrastructure</w:t>
      </w:r>
    </w:p>
    <w:p w14:paraId="6520C78E" w14:textId="627C47EE" w:rsidR="00346BB9" w:rsidRDefault="00235814" w:rsidP="00346BB9">
      <w:r>
        <w:rPr>
          <w:iCs/>
        </w:rPr>
        <w:t>Until 3 February 2019,</w:t>
      </w:r>
      <w:r w:rsidR="00D22C6F" w:rsidRPr="008736EC">
        <w:rPr>
          <w:iCs/>
        </w:rPr>
        <w:t xml:space="preserve"> </w:t>
      </w:r>
      <w:r w:rsidR="00346BB9">
        <w:rPr>
          <w:iCs/>
        </w:rPr>
        <w:t xml:space="preserve">TfNSW </w:t>
      </w:r>
      <w:r w:rsidR="00F9020E">
        <w:rPr>
          <w:iCs/>
        </w:rPr>
        <w:t xml:space="preserve">is exempt from compliance </w:t>
      </w:r>
      <w:r w:rsidR="00346BB9">
        <w:rPr>
          <w:iCs/>
        </w:rPr>
        <w:t xml:space="preserve">with </w:t>
      </w:r>
      <w:r w:rsidR="008D181E">
        <w:rPr>
          <w:iCs/>
        </w:rPr>
        <w:t xml:space="preserve">ss 2.1 or 2.2 of the Transport Standards in relation to Birchgrove Wharf.  This exemption is granted without conditions, </w:t>
      </w:r>
      <w:r w:rsidR="00346BB9" w:rsidRPr="00A00BE9">
        <w:t xml:space="preserve">to allow TfNSW and </w:t>
      </w:r>
      <w:r w:rsidR="008D181E">
        <w:t>Inner West Council (</w:t>
      </w:r>
      <w:r w:rsidR="00346BB9" w:rsidRPr="00A00BE9">
        <w:t>IWC</w:t>
      </w:r>
      <w:r w:rsidR="008D181E">
        <w:t>)</w:t>
      </w:r>
      <w:r w:rsidR="00346BB9" w:rsidRPr="00A00BE9">
        <w:t xml:space="preserve"> to continue to negotiate in relation to an appropriate solution that improves access to Birchgrove Wharf for people with disabilities.</w:t>
      </w:r>
    </w:p>
    <w:p w14:paraId="35947917" w14:textId="6E7E7CBE" w:rsidR="00346BB9" w:rsidRDefault="008D181E" w:rsidP="00346BB9">
      <w:r>
        <w:t xml:space="preserve">From </w:t>
      </w:r>
      <w:r w:rsidR="00E16682">
        <w:t>the end of the initial negotiation period described above</w:t>
      </w:r>
      <w:r>
        <w:t xml:space="preserve">, TfNSW </w:t>
      </w:r>
      <w:r w:rsidR="00F9020E">
        <w:rPr>
          <w:iCs/>
        </w:rPr>
        <w:t xml:space="preserve">is exempt from compliance </w:t>
      </w:r>
      <w:r>
        <w:t>with ss 2.1 or 2.2 of the Transport Standards in relation to Birchgrove Wharf</w:t>
      </w:r>
      <w:r w:rsidR="00E16682">
        <w:t xml:space="preserve"> for a further period of 24 months</w:t>
      </w:r>
      <w:r>
        <w:t xml:space="preserve">, on condition that: </w:t>
      </w:r>
    </w:p>
    <w:p w14:paraId="1BF62D6A" w14:textId="4BF835D5" w:rsidR="00346BB9" w:rsidRDefault="00346BB9" w:rsidP="00A332B1">
      <w:pPr>
        <w:pStyle w:val="ListParagraph"/>
        <w:numPr>
          <w:ilvl w:val="0"/>
          <w:numId w:val="26"/>
        </w:numPr>
        <w:tabs>
          <w:tab w:val="left" w:pos="1418"/>
        </w:tabs>
        <w:contextualSpacing w:val="0"/>
        <w:outlineLvl w:val="2"/>
        <w:rPr>
          <w:rFonts w:cs="Arial"/>
          <w:bCs/>
        </w:rPr>
      </w:pPr>
      <w:r w:rsidRPr="00A00BE9">
        <w:rPr>
          <w:rFonts w:cs="Arial"/>
          <w:bCs/>
        </w:rPr>
        <w:t xml:space="preserve">TfNSW confirms in writing to the Commission </w:t>
      </w:r>
      <w:r w:rsidR="008D181E">
        <w:rPr>
          <w:rFonts w:cs="Arial"/>
          <w:bCs/>
        </w:rPr>
        <w:t xml:space="preserve">by </w:t>
      </w:r>
      <w:r w:rsidR="0038337E">
        <w:rPr>
          <w:rFonts w:cs="Arial"/>
          <w:bCs/>
        </w:rPr>
        <w:t>the end of the negotiation period</w:t>
      </w:r>
      <w:r w:rsidR="00024B99">
        <w:rPr>
          <w:rFonts w:cs="Arial"/>
          <w:bCs/>
        </w:rPr>
        <w:t xml:space="preserve"> </w:t>
      </w:r>
      <w:r w:rsidRPr="00A00BE9">
        <w:rPr>
          <w:rFonts w:cs="Arial"/>
          <w:bCs/>
        </w:rPr>
        <w:t>that agreement has been reached with IWC about how to improve access to Birchgrove Wharf for people with disabilities and describes the nature of the agreed solution; and</w:t>
      </w:r>
    </w:p>
    <w:p w14:paraId="4E390EFA" w14:textId="77777777" w:rsidR="00346BB9" w:rsidRPr="00A00BE9" w:rsidRDefault="00346BB9" w:rsidP="00A332B1">
      <w:pPr>
        <w:pStyle w:val="ListParagraph"/>
        <w:numPr>
          <w:ilvl w:val="0"/>
          <w:numId w:val="26"/>
        </w:numPr>
        <w:tabs>
          <w:tab w:val="left" w:pos="1418"/>
        </w:tabs>
        <w:contextualSpacing w:val="0"/>
        <w:outlineLvl w:val="2"/>
        <w:rPr>
          <w:rFonts w:cs="Arial"/>
          <w:bCs/>
        </w:rPr>
      </w:pPr>
      <w:r w:rsidRPr="00A00BE9">
        <w:rPr>
          <w:rFonts w:cs="Arial"/>
          <w:bCs/>
        </w:rPr>
        <w:t>the agreed solution would provide access in a way that is compliant with the</w:t>
      </w:r>
      <w:r>
        <w:rPr>
          <w:rFonts w:cs="Arial"/>
          <w:bCs/>
        </w:rPr>
        <w:t xml:space="preserve"> DDA and the</w:t>
      </w:r>
      <w:r w:rsidRPr="00A00BE9">
        <w:rPr>
          <w:rFonts w:cs="Arial"/>
          <w:bCs/>
        </w:rPr>
        <w:t xml:space="preserve"> Transport Standards. </w:t>
      </w:r>
    </w:p>
    <w:p w14:paraId="751AE896" w14:textId="77777777" w:rsidR="00D2277F" w:rsidRPr="008736EC" w:rsidRDefault="00D2277F" w:rsidP="008736EC">
      <w:pPr>
        <w:spacing w:before="0" w:after="0"/>
        <w:rPr>
          <w:rFonts w:cs="Arial"/>
          <w:b/>
          <w:sz w:val="28"/>
          <w:lang w:eastAsia="en-US"/>
        </w:rPr>
      </w:pPr>
    </w:p>
    <w:p w14:paraId="238A0ACA" w14:textId="77777777" w:rsidR="008736EC" w:rsidRPr="008736EC" w:rsidRDefault="008736EC" w:rsidP="008736EC">
      <w:pPr>
        <w:spacing w:before="0" w:after="0"/>
        <w:rPr>
          <w:rFonts w:cs="Arial"/>
          <w:b/>
          <w:sz w:val="28"/>
          <w:lang w:eastAsia="en-US"/>
        </w:rPr>
      </w:pPr>
      <w:r w:rsidRPr="008736EC">
        <w:rPr>
          <w:rFonts w:cs="Arial"/>
          <w:b/>
          <w:sz w:val="28"/>
          <w:lang w:eastAsia="en-US"/>
        </w:rPr>
        <w:t>EXEMPTIONS FROM THE DISABILITY DISCRIMINATION ACT</w:t>
      </w:r>
    </w:p>
    <w:p w14:paraId="01CCA3DB" w14:textId="77777777" w:rsidR="008736EC" w:rsidRPr="008736EC" w:rsidRDefault="008736EC" w:rsidP="008736EC">
      <w:pPr>
        <w:spacing w:before="0" w:after="0"/>
        <w:rPr>
          <w:rFonts w:cs="Arial"/>
          <w:lang w:eastAsia="en-US"/>
        </w:rPr>
      </w:pPr>
    </w:p>
    <w:p w14:paraId="5C6758A2" w14:textId="4E589661" w:rsidR="000719A8" w:rsidRDefault="008736EC" w:rsidP="008D181E">
      <w:pPr>
        <w:spacing w:before="0" w:after="0"/>
        <w:outlineLvl w:val="2"/>
        <w:rPr>
          <w:rFonts w:cs="Arial"/>
          <w:bCs/>
        </w:rPr>
      </w:pPr>
      <w:r w:rsidRPr="008736EC">
        <w:rPr>
          <w:rFonts w:cs="Arial"/>
          <w:bCs/>
        </w:rPr>
        <w:t xml:space="preserve">The Commission also grants to </w:t>
      </w:r>
      <w:r w:rsidR="00D22C6F">
        <w:rPr>
          <w:rFonts w:cs="Arial"/>
          <w:bCs/>
        </w:rPr>
        <w:t xml:space="preserve">TfNSW </w:t>
      </w:r>
      <w:r w:rsidRPr="008736EC">
        <w:rPr>
          <w:rFonts w:cs="Arial"/>
          <w:bCs/>
        </w:rPr>
        <w:t xml:space="preserve">an exemption from </w:t>
      </w:r>
      <w:r w:rsidR="008D181E">
        <w:rPr>
          <w:rFonts w:cs="Arial"/>
          <w:bCs/>
        </w:rPr>
        <w:t>ss </w:t>
      </w:r>
      <w:r w:rsidRPr="008736EC">
        <w:rPr>
          <w:rFonts w:cs="Arial"/>
          <w:bCs/>
        </w:rPr>
        <w:t>23 and 24 of the DDA as follows:</w:t>
      </w:r>
    </w:p>
    <w:p w14:paraId="3741D13C" w14:textId="51A25A19" w:rsidR="008736EC" w:rsidRPr="008736EC" w:rsidRDefault="008736EC" w:rsidP="008D181E">
      <w:r w:rsidRPr="008736EC">
        <w:t xml:space="preserve">If: </w:t>
      </w:r>
    </w:p>
    <w:p w14:paraId="7304ACE1" w14:textId="626C2AAB" w:rsidR="008736EC" w:rsidRPr="008736EC" w:rsidRDefault="008736EC" w:rsidP="00A332B1">
      <w:pPr>
        <w:pStyle w:val="ListParagraph"/>
        <w:numPr>
          <w:ilvl w:val="0"/>
          <w:numId w:val="27"/>
        </w:numPr>
        <w:ind w:left="714" w:hanging="357"/>
        <w:contextualSpacing w:val="0"/>
      </w:pPr>
      <w:r w:rsidRPr="008736EC">
        <w:t xml:space="preserve">a matter is regulated by </w:t>
      </w:r>
      <w:r w:rsidR="008D181E">
        <w:t>ss </w:t>
      </w:r>
      <w:r w:rsidR="00D22C6F">
        <w:t>2.1 or 2.2</w:t>
      </w:r>
      <w:r w:rsidRPr="008736EC">
        <w:t xml:space="preserve"> of the Transport Standards, and</w:t>
      </w:r>
    </w:p>
    <w:p w14:paraId="15693BE3" w14:textId="29B4940C" w:rsidR="008736EC" w:rsidRPr="008736EC" w:rsidRDefault="008D181E" w:rsidP="00A332B1">
      <w:pPr>
        <w:pStyle w:val="ListParagraph"/>
        <w:numPr>
          <w:ilvl w:val="0"/>
          <w:numId w:val="27"/>
        </w:numPr>
        <w:ind w:left="714" w:hanging="357"/>
        <w:contextualSpacing w:val="0"/>
      </w:pPr>
      <w:r>
        <w:t>ss </w:t>
      </w:r>
      <w:r w:rsidR="00D22C6F">
        <w:t>2.1 or 2.2 of the Transport Standards are</w:t>
      </w:r>
      <w:r w:rsidR="008736EC" w:rsidRPr="008736EC">
        <w:t xml:space="preserve"> subject to an exemption granted by this instrument, and</w:t>
      </w:r>
    </w:p>
    <w:p w14:paraId="6FC0FA60" w14:textId="5BA4DCCE" w:rsidR="008736EC" w:rsidRPr="008736EC" w:rsidRDefault="00D22C6F" w:rsidP="00A332B1">
      <w:pPr>
        <w:pStyle w:val="ListParagraph"/>
        <w:numPr>
          <w:ilvl w:val="0"/>
          <w:numId w:val="27"/>
        </w:numPr>
        <w:ind w:left="714" w:hanging="357"/>
        <w:contextualSpacing w:val="0"/>
      </w:pPr>
      <w:r>
        <w:t xml:space="preserve">TfNSW </w:t>
      </w:r>
      <w:r w:rsidR="008736EC" w:rsidRPr="008736EC">
        <w:t xml:space="preserve">complies with any conditions subject to </w:t>
      </w:r>
      <w:r w:rsidR="00F645FB">
        <w:t>which this exemption is granted</w:t>
      </w:r>
      <w:r w:rsidR="008736EC" w:rsidRPr="008736EC">
        <w:t xml:space="preserve"> </w:t>
      </w:r>
    </w:p>
    <w:p w14:paraId="595226B1" w14:textId="24A3B5F6" w:rsidR="008736EC" w:rsidRPr="008736EC" w:rsidRDefault="008736EC" w:rsidP="008D181E">
      <w:r w:rsidRPr="008736EC">
        <w:t>T</w:t>
      </w:r>
      <w:r w:rsidR="00D22C6F">
        <w:t>fNSW</w:t>
      </w:r>
      <w:r w:rsidRPr="008736EC">
        <w:t xml:space="preserve"> is, with respect to that matter, exempt from the operation of </w:t>
      </w:r>
      <w:r w:rsidR="008D181E">
        <w:t>ss </w:t>
      </w:r>
      <w:r w:rsidRPr="008736EC">
        <w:t xml:space="preserve">23 and 24 of the DDA.  </w:t>
      </w:r>
    </w:p>
    <w:p w14:paraId="34FCCC43" w14:textId="583D03B9" w:rsidR="0053399B" w:rsidRDefault="0053399B">
      <w:pPr>
        <w:spacing w:before="0" w:after="0"/>
      </w:pPr>
    </w:p>
    <w:sectPr w:rsidR="0053399B" w:rsidSect="00774A36">
      <w:footerReference w:type="default" r:id="rId8"/>
      <w:endnotePr>
        <w:numFmt w:val="decimal"/>
      </w:end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796E" w14:textId="77777777" w:rsidR="00CE1F09" w:rsidRDefault="00CE1F09" w:rsidP="00F14C6D">
      <w:r>
        <w:separator/>
      </w:r>
    </w:p>
  </w:endnote>
  <w:endnote w:type="continuationSeparator" w:id="0">
    <w:p w14:paraId="3DC8E12B" w14:textId="77777777" w:rsidR="00CE1F09" w:rsidRDefault="00CE1F0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B137" w14:textId="06AA9480" w:rsidR="00CE1F09" w:rsidRDefault="00CE1F09" w:rsidP="00CE7182">
    <w:pPr>
      <w:pStyle w:val="Footer"/>
      <w:spacing w:before="0"/>
    </w:pPr>
    <w:r w:rsidRPr="0090165F">
      <w:fldChar w:fldCharType="begin"/>
    </w:r>
    <w:r w:rsidRPr="0090165F">
      <w:instrText xml:space="preserve"> PAGE   \* MERGEFORMAT </w:instrText>
    </w:r>
    <w:r w:rsidRPr="0090165F">
      <w:fldChar w:fldCharType="separate"/>
    </w:r>
    <w:r w:rsidR="00ED4ACE">
      <w:rPr>
        <w:noProof/>
      </w:rPr>
      <w:t>5</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639D" w14:textId="77777777" w:rsidR="00CE1F09" w:rsidRDefault="00CE1F09" w:rsidP="00F14C6D">
      <w:r>
        <w:separator/>
      </w:r>
    </w:p>
  </w:footnote>
  <w:footnote w:type="continuationSeparator" w:id="0">
    <w:p w14:paraId="65F5CE57" w14:textId="77777777" w:rsidR="00CE1F09" w:rsidRDefault="00CE1F09"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E532E7"/>
    <w:multiLevelType w:val="hybridMultilevel"/>
    <w:tmpl w:val="17D8F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1FC70BD"/>
    <w:multiLevelType w:val="hybridMultilevel"/>
    <w:tmpl w:val="4918B010"/>
    <w:lvl w:ilvl="0" w:tplc="7F6A707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A02B32"/>
    <w:multiLevelType w:val="hybridMultilevel"/>
    <w:tmpl w:val="4918B010"/>
    <w:lvl w:ilvl="0" w:tplc="7F6A7078">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start w:val="1"/>
      <w:numFmt w:val="lowerRoman"/>
      <w:lvlText w:val="%3."/>
      <w:lvlJc w:val="right"/>
      <w:pPr>
        <w:ind w:left="3225" w:hanging="180"/>
      </w:pPr>
    </w:lvl>
    <w:lvl w:ilvl="3" w:tplc="0C09000F">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746324"/>
    <w:multiLevelType w:val="hybridMultilevel"/>
    <w:tmpl w:val="18C47E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8E2263"/>
    <w:multiLevelType w:val="hybridMultilevel"/>
    <w:tmpl w:val="F9A4CAEA"/>
    <w:lvl w:ilvl="0" w:tplc="74B2455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85D5D05"/>
    <w:multiLevelType w:val="hybridMultilevel"/>
    <w:tmpl w:val="4918B010"/>
    <w:lvl w:ilvl="0" w:tplc="7F6A7078">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start w:val="1"/>
      <w:numFmt w:val="lowerRoman"/>
      <w:lvlText w:val="%3."/>
      <w:lvlJc w:val="right"/>
      <w:pPr>
        <w:ind w:left="3225" w:hanging="180"/>
      </w:pPr>
    </w:lvl>
    <w:lvl w:ilvl="3" w:tplc="0C09000F">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5145A"/>
    <w:multiLevelType w:val="hybridMultilevel"/>
    <w:tmpl w:val="90D6F2DE"/>
    <w:lvl w:ilvl="0" w:tplc="2DA0B4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CC2641C"/>
    <w:multiLevelType w:val="hybridMultilevel"/>
    <w:tmpl w:val="B0F8CB08"/>
    <w:lvl w:ilvl="0" w:tplc="FA0E9E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49B6C6B"/>
    <w:multiLevelType w:val="hybridMultilevel"/>
    <w:tmpl w:val="10A04DA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1E655AF"/>
    <w:multiLevelType w:val="hybridMultilevel"/>
    <w:tmpl w:val="C2B8B3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9797484"/>
    <w:multiLevelType w:val="multilevel"/>
    <w:tmpl w:val="BC7C579A"/>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38595E"/>
    <w:multiLevelType w:val="hybridMultilevel"/>
    <w:tmpl w:val="49EE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6"/>
  </w:num>
  <w:num w:numId="13">
    <w:abstractNumId w:val="11"/>
  </w:num>
  <w:num w:numId="14">
    <w:abstractNumId w:val="19"/>
  </w:num>
  <w:num w:numId="15">
    <w:abstractNumId w:val="14"/>
  </w:num>
  <w:num w:numId="16">
    <w:abstractNumId w:val="20"/>
  </w:num>
  <w:num w:numId="17">
    <w:abstractNumId w:val="21"/>
  </w:num>
  <w:num w:numId="18">
    <w:abstractNumId w:val="25"/>
  </w:num>
  <w:num w:numId="19">
    <w:abstractNumId w:val="15"/>
  </w:num>
  <w:num w:numId="20">
    <w:abstractNumId w:val="10"/>
  </w:num>
  <w:num w:numId="21">
    <w:abstractNumId w:val="17"/>
  </w:num>
  <w:num w:numId="22">
    <w:abstractNumId w:val="18"/>
  </w:num>
  <w:num w:numId="23">
    <w:abstractNumId w:val="24"/>
  </w:num>
  <w:num w:numId="24">
    <w:abstractNumId w:val="23"/>
  </w:num>
  <w:num w:numId="25">
    <w:abstractNumId w:val="13"/>
  </w:num>
  <w:num w:numId="26">
    <w:abstractNumId w:val="12"/>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09"/>
    <w:rsid w:val="000007D1"/>
    <w:rsid w:val="00001FA2"/>
    <w:rsid w:val="0000225C"/>
    <w:rsid w:val="00003C28"/>
    <w:rsid w:val="00007261"/>
    <w:rsid w:val="000110AA"/>
    <w:rsid w:val="0001254B"/>
    <w:rsid w:val="000128E1"/>
    <w:rsid w:val="00012E6C"/>
    <w:rsid w:val="00013272"/>
    <w:rsid w:val="00013968"/>
    <w:rsid w:val="00013AEC"/>
    <w:rsid w:val="00021134"/>
    <w:rsid w:val="000228D4"/>
    <w:rsid w:val="00022E44"/>
    <w:rsid w:val="00023229"/>
    <w:rsid w:val="00024B99"/>
    <w:rsid w:val="00031BCE"/>
    <w:rsid w:val="00050483"/>
    <w:rsid w:val="000515D1"/>
    <w:rsid w:val="00052989"/>
    <w:rsid w:val="00053BE1"/>
    <w:rsid w:val="000540A0"/>
    <w:rsid w:val="000561AA"/>
    <w:rsid w:val="000579B1"/>
    <w:rsid w:val="00061380"/>
    <w:rsid w:val="00061734"/>
    <w:rsid w:val="00065F2D"/>
    <w:rsid w:val="00070B32"/>
    <w:rsid w:val="000719A8"/>
    <w:rsid w:val="0007221F"/>
    <w:rsid w:val="00074750"/>
    <w:rsid w:val="00074CD6"/>
    <w:rsid w:val="000804E6"/>
    <w:rsid w:val="00080DAC"/>
    <w:rsid w:val="00082C5C"/>
    <w:rsid w:val="00092933"/>
    <w:rsid w:val="00094E3C"/>
    <w:rsid w:val="000A4450"/>
    <w:rsid w:val="000A53DA"/>
    <w:rsid w:val="000B0A5D"/>
    <w:rsid w:val="000B29BD"/>
    <w:rsid w:val="000B2A3A"/>
    <w:rsid w:val="000B3E68"/>
    <w:rsid w:val="000C2300"/>
    <w:rsid w:val="000C4F06"/>
    <w:rsid w:val="000C5C19"/>
    <w:rsid w:val="000D0622"/>
    <w:rsid w:val="000D6714"/>
    <w:rsid w:val="000D7280"/>
    <w:rsid w:val="000E30FF"/>
    <w:rsid w:val="000E6678"/>
    <w:rsid w:val="000F1D0F"/>
    <w:rsid w:val="001011C8"/>
    <w:rsid w:val="00101688"/>
    <w:rsid w:val="00102EAA"/>
    <w:rsid w:val="00107C56"/>
    <w:rsid w:val="00114EE6"/>
    <w:rsid w:val="00120378"/>
    <w:rsid w:val="00122EE7"/>
    <w:rsid w:val="001322EB"/>
    <w:rsid w:val="00132462"/>
    <w:rsid w:val="00140077"/>
    <w:rsid w:val="00142B10"/>
    <w:rsid w:val="001476EC"/>
    <w:rsid w:val="001523D8"/>
    <w:rsid w:val="001565DA"/>
    <w:rsid w:val="001566D4"/>
    <w:rsid w:val="00162A8D"/>
    <w:rsid w:val="00164A4B"/>
    <w:rsid w:val="00166829"/>
    <w:rsid w:val="00171B13"/>
    <w:rsid w:val="00174E73"/>
    <w:rsid w:val="00176F2F"/>
    <w:rsid w:val="00177C9E"/>
    <w:rsid w:val="00180DD4"/>
    <w:rsid w:val="001839CB"/>
    <w:rsid w:val="00184098"/>
    <w:rsid w:val="00185361"/>
    <w:rsid w:val="001867A2"/>
    <w:rsid w:val="00186D8E"/>
    <w:rsid w:val="00193633"/>
    <w:rsid w:val="00196454"/>
    <w:rsid w:val="0019797C"/>
    <w:rsid w:val="001A1DF6"/>
    <w:rsid w:val="001A5D46"/>
    <w:rsid w:val="001B0353"/>
    <w:rsid w:val="001B0A5C"/>
    <w:rsid w:val="001B2A77"/>
    <w:rsid w:val="001B6171"/>
    <w:rsid w:val="001C139C"/>
    <w:rsid w:val="001C451B"/>
    <w:rsid w:val="001C7A98"/>
    <w:rsid w:val="001D203F"/>
    <w:rsid w:val="001D2AB0"/>
    <w:rsid w:val="001D33C2"/>
    <w:rsid w:val="001D55BD"/>
    <w:rsid w:val="001E15B3"/>
    <w:rsid w:val="001E522A"/>
    <w:rsid w:val="001E6759"/>
    <w:rsid w:val="001F2BBB"/>
    <w:rsid w:val="001F7490"/>
    <w:rsid w:val="001F7499"/>
    <w:rsid w:val="00206223"/>
    <w:rsid w:val="002067FE"/>
    <w:rsid w:val="0020759E"/>
    <w:rsid w:val="002105D1"/>
    <w:rsid w:val="00213EF2"/>
    <w:rsid w:val="002178EC"/>
    <w:rsid w:val="0022330A"/>
    <w:rsid w:val="00226596"/>
    <w:rsid w:val="00227907"/>
    <w:rsid w:val="0023122D"/>
    <w:rsid w:val="00231ED1"/>
    <w:rsid w:val="0023303F"/>
    <w:rsid w:val="00235814"/>
    <w:rsid w:val="0024300C"/>
    <w:rsid w:val="0024305F"/>
    <w:rsid w:val="0024557E"/>
    <w:rsid w:val="0025113D"/>
    <w:rsid w:val="0025164F"/>
    <w:rsid w:val="002538CC"/>
    <w:rsid w:val="00256490"/>
    <w:rsid w:val="0025678F"/>
    <w:rsid w:val="00265C15"/>
    <w:rsid w:val="002702D9"/>
    <w:rsid w:val="002744F7"/>
    <w:rsid w:val="00285511"/>
    <w:rsid w:val="0028745A"/>
    <w:rsid w:val="00287521"/>
    <w:rsid w:val="002A3083"/>
    <w:rsid w:val="002A5305"/>
    <w:rsid w:val="002A65A9"/>
    <w:rsid w:val="002C15EC"/>
    <w:rsid w:val="002C3DCD"/>
    <w:rsid w:val="002C4E6B"/>
    <w:rsid w:val="002C7BE9"/>
    <w:rsid w:val="002D6907"/>
    <w:rsid w:val="002D6BC1"/>
    <w:rsid w:val="002E0179"/>
    <w:rsid w:val="002E5880"/>
    <w:rsid w:val="002E6C70"/>
    <w:rsid w:val="002E7649"/>
    <w:rsid w:val="002E7F95"/>
    <w:rsid w:val="002F08C5"/>
    <w:rsid w:val="002F7D9B"/>
    <w:rsid w:val="00301695"/>
    <w:rsid w:val="003040CA"/>
    <w:rsid w:val="00306E4A"/>
    <w:rsid w:val="00306F64"/>
    <w:rsid w:val="003074AE"/>
    <w:rsid w:val="00310C50"/>
    <w:rsid w:val="00310ED4"/>
    <w:rsid w:val="00313C45"/>
    <w:rsid w:val="0031492A"/>
    <w:rsid w:val="00316504"/>
    <w:rsid w:val="00316C1A"/>
    <w:rsid w:val="00317365"/>
    <w:rsid w:val="00321AF0"/>
    <w:rsid w:val="00333406"/>
    <w:rsid w:val="00333694"/>
    <w:rsid w:val="00333A3E"/>
    <w:rsid w:val="00336D2B"/>
    <w:rsid w:val="003439C2"/>
    <w:rsid w:val="00346B43"/>
    <w:rsid w:val="00346BB9"/>
    <w:rsid w:val="00352FAA"/>
    <w:rsid w:val="003535B6"/>
    <w:rsid w:val="00355EF8"/>
    <w:rsid w:val="003635D1"/>
    <w:rsid w:val="00374D9A"/>
    <w:rsid w:val="00377C8F"/>
    <w:rsid w:val="0038337E"/>
    <w:rsid w:val="00387667"/>
    <w:rsid w:val="003931C7"/>
    <w:rsid w:val="003955AE"/>
    <w:rsid w:val="00395B25"/>
    <w:rsid w:val="00396B24"/>
    <w:rsid w:val="003A1F4C"/>
    <w:rsid w:val="003A36C2"/>
    <w:rsid w:val="003A533F"/>
    <w:rsid w:val="003B18A7"/>
    <w:rsid w:val="003B4229"/>
    <w:rsid w:val="003B4B65"/>
    <w:rsid w:val="003B6210"/>
    <w:rsid w:val="003B6BBD"/>
    <w:rsid w:val="003B6FF8"/>
    <w:rsid w:val="003D09DF"/>
    <w:rsid w:val="003D0C92"/>
    <w:rsid w:val="003D3131"/>
    <w:rsid w:val="003D3F55"/>
    <w:rsid w:val="003D62AC"/>
    <w:rsid w:val="003D73F3"/>
    <w:rsid w:val="003E7833"/>
    <w:rsid w:val="003F0CEE"/>
    <w:rsid w:val="00401006"/>
    <w:rsid w:val="0040174F"/>
    <w:rsid w:val="00404015"/>
    <w:rsid w:val="00405D04"/>
    <w:rsid w:val="00405E15"/>
    <w:rsid w:val="004115CC"/>
    <w:rsid w:val="00411642"/>
    <w:rsid w:val="004150DC"/>
    <w:rsid w:val="00420C7C"/>
    <w:rsid w:val="004215B3"/>
    <w:rsid w:val="00422718"/>
    <w:rsid w:val="00426926"/>
    <w:rsid w:val="00430A1E"/>
    <w:rsid w:val="004311F8"/>
    <w:rsid w:val="00432968"/>
    <w:rsid w:val="004340FE"/>
    <w:rsid w:val="00440BCA"/>
    <w:rsid w:val="00443B7F"/>
    <w:rsid w:val="00444303"/>
    <w:rsid w:val="0045138E"/>
    <w:rsid w:val="004532A5"/>
    <w:rsid w:val="004561BE"/>
    <w:rsid w:val="00460FA6"/>
    <w:rsid w:val="00462D4C"/>
    <w:rsid w:val="00463377"/>
    <w:rsid w:val="00471C95"/>
    <w:rsid w:val="00473A0B"/>
    <w:rsid w:val="00473DB9"/>
    <w:rsid w:val="00474063"/>
    <w:rsid w:val="00475408"/>
    <w:rsid w:val="00476399"/>
    <w:rsid w:val="00476EEA"/>
    <w:rsid w:val="00477D38"/>
    <w:rsid w:val="00477DD9"/>
    <w:rsid w:val="00492346"/>
    <w:rsid w:val="00494D4B"/>
    <w:rsid w:val="004A0F63"/>
    <w:rsid w:val="004A2035"/>
    <w:rsid w:val="004A722D"/>
    <w:rsid w:val="004B0749"/>
    <w:rsid w:val="004B0D91"/>
    <w:rsid w:val="004B75FF"/>
    <w:rsid w:val="004C3192"/>
    <w:rsid w:val="004C3B63"/>
    <w:rsid w:val="004D14E4"/>
    <w:rsid w:val="004D1956"/>
    <w:rsid w:val="004D2364"/>
    <w:rsid w:val="004E0679"/>
    <w:rsid w:val="004E0FAF"/>
    <w:rsid w:val="004E5D87"/>
    <w:rsid w:val="004E6A82"/>
    <w:rsid w:val="004E79E2"/>
    <w:rsid w:val="004F0D90"/>
    <w:rsid w:val="004F27BB"/>
    <w:rsid w:val="004F3A80"/>
    <w:rsid w:val="004F3D7F"/>
    <w:rsid w:val="004F53EF"/>
    <w:rsid w:val="004F6708"/>
    <w:rsid w:val="004F7CE5"/>
    <w:rsid w:val="00500F01"/>
    <w:rsid w:val="00503E04"/>
    <w:rsid w:val="00504B28"/>
    <w:rsid w:val="005059BF"/>
    <w:rsid w:val="00507717"/>
    <w:rsid w:val="00510132"/>
    <w:rsid w:val="005113F8"/>
    <w:rsid w:val="005119F0"/>
    <w:rsid w:val="00512747"/>
    <w:rsid w:val="0051321D"/>
    <w:rsid w:val="00513540"/>
    <w:rsid w:val="00514024"/>
    <w:rsid w:val="00514945"/>
    <w:rsid w:val="00515DC9"/>
    <w:rsid w:val="00522CED"/>
    <w:rsid w:val="00523CB7"/>
    <w:rsid w:val="00524A10"/>
    <w:rsid w:val="00525119"/>
    <w:rsid w:val="0053399B"/>
    <w:rsid w:val="00541649"/>
    <w:rsid w:val="00542D02"/>
    <w:rsid w:val="00543004"/>
    <w:rsid w:val="00544F10"/>
    <w:rsid w:val="00554C04"/>
    <w:rsid w:val="005570F6"/>
    <w:rsid w:val="0056107D"/>
    <w:rsid w:val="00566171"/>
    <w:rsid w:val="005707B3"/>
    <w:rsid w:val="00575120"/>
    <w:rsid w:val="00580D8F"/>
    <w:rsid w:val="005814A4"/>
    <w:rsid w:val="00582065"/>
    <w:rsid w:val="00584A94"/>
    <w:rsid w:val="00585A45"/>
    <w:rsid w:val="005868C4"/>
    <w:rsid w:val="00586E46"/>
    <w:rsid w:val="0059333B"/>
    <w:rsid w:val="00597926"/>
    <w:rsid w:val="00597F9A"/>
    <w:rsid w:val="005A6433"/>
    <w:rsid w:val="005A7B88"/>
    <w:rsid w:val="005B6163"/>
    <w:rsid w:val="005B7515"/>
    <w:rsid w:val="005C0ACA"/>
    <w:rsid w:val="005C1654"/>
    <w:rsid w:val="005C2A64"/>
    <w:rsid w:val="005C4B3F"/>
    <w:rsid w:val="005D04F4"/>
    <w:rsid w:val="005D1F34"/>
    <w:rsid w:val="005D5FC2"/>
    <w:rsid w:val="005E04D3"/>
    <w:rsid w:val="005E085F"/>
    <w:rsid w:val="005E3F65"/>
    <w:rsid w:val="005E4CB4"/>
    <w:rsid w:val="005E7748"/>
    <w:rsid w:val="005F0A25"/>
    <w:rsid w:val="005F3E38"/>
    <w:rsid w:val="005F4881"/>
    <w:rsid w:val="005F5F45"/>
    <w:rsid w:val="005F7398"/>
    <w:rsid w:val="00603F6C"/>
    <w:rsid w:val="00606A63"/>
    <w:rsid w:val="00613949"/>
    <w:rsid w:val="00613F81"/>
    <w:rsid w:val="0062579C"/>
    <w:rsid w:val="00631C09"/>
    <w:rsid w:val="00632845"/>
    <w:rsid w:val="00635170"/>
    <w:rsid w:val="006368D3"/>
    <w:rsid w:val="0064394F"/>
    <w:rsid w:val="006455D9"/>
    <w:rsid w:val="00645BB6"/>
    <w:rsid w:val="00646B3D"/>
    <w:rsid w:val="00665D84"/>
    <w:rsid w:val="00665FFF"/>
    <w:rsid w:val="006663DF"/>
    <w:rsid w:val="00674959"/>
    <w:rsid w:val="00675B17"/>
    <w:rsid w:val="0067743B"/>
    <w:rsid w:val="006776EE"/>
    <w:rsid w:val="00682EA0"/>
    <w:rsid w:val="0068457D"/>
    <w:rsid w:val="00685F84"/>
    <w:rsid w:val="0068665E"/>
    <w:rsid w:val="006875AD"/>
    <w:rsid w:val="00690313"/>
    <w:rsid w:val="00696390"/>
    <w:rsid w:val="00697E34"/>
    <w:rsid w:val="006A4412"/>
    <w:rsid w:val="006A6BB3"/>
    <w:rsid w:val="006A70C9"/>
    <w:rsid w:val="006B0B26"/>
    <w:rsid w:val="006B2420"/>
    <w:rsid w:val="006B3680"/>
    <w:rsid w:val="006B3B08"/>
    <w:rsid w:val="006B4458"/>
    <w:rsid w:val="006B7B4B"/>
    <w:rsid w:val="006C2144"/>
    <w:rsid w:val="006D250A"/>
    <w:rsid w:val="006D5EE5"/>
    <w:rsid w:val="006D611C"/>
    <w:rsid w:val="006D7734"/>
    <w:rsid w:val="006E06ED"/>
    <w:rsid w:val="006E06F5"/>
    <w:rsid w:val="006E51AC"/>
    <w:rsid w:val="006F40C2"/>
    <w:rsid w:val="007039FC"/>
    <w:rsid w:val="00706FAB"/>
    <w:rsid w:val="00707793"/>
    <w:rsid w:val="00710335"/>
    <w:rsid w:val="007169BB"/>
    <w:rsid w:val="0072426D"/>
    <w:rsid w:val="00725D5E"/>
    <w:rsid w:val="00731CCB"/>
    <w:rsid w:val="00734850"/>
    <w:rsid w:val="00734F6D"/>
    <w:rsid w:val="00740AF6"/>
    <w:rsid w:val="00742C74"/>
    <w:rsid w:val="0074367D"/>
    <w:rsid w:val="007436E5"/>
    <w:rsid w:val="0074379B"/>
    <w:rsid w:val="00745DA0"/>
    <w:rsid w:val="00750C9D"/>
    <w:rsid w:val="00750E86"/>
    <w:rsid w:val="007526CD"/>
    <w:rsid w:val="0075305B"/>
    <w:rsid w:val="007548CA"/>
    <w:rsid w:val="00760CB9"/>
    <w:rsid w:val="0076368B"/>
    <w:rsid w:val="00764173"/>
    <w:rsid w:val="00764384"/>
    <w:rsid w:val="0076662F"/>
    <w:rsid w:val="00766FAF"/>
    <w:rsid w:val="00770DCB"/>
    <w:rsid w:val="007736EA"/>
    <w:rsid w:val="00774A36"/>
    <w:rsid w:val="00775485"/>
    <w:rsid w:val="00781C49"/>
    <w:rsid w:val="0078294C"/>
    <w:rsid w:val="007841E1"/>
    <w:rsid w:val="00794B67"/>
    <w:rsid w:val="007967B6"/>
    <w:rsid w:val="007A04DA"/>
    <w:rsid w:val="007A2523"/>
    <w:rsid w:val="007A30F6"/>
    <w:rsid w:val="007A3E03"/>
    <w:rsid w:val="007A43AD"/>
    <w:rsid w:val="007A4883"/>
    <w:rsid w:val="007A5886"/>
    <w:rsid w:val="007A74A7"/>
    <w:rsid w:val="007B7108"/>
    <w:rsid w:val="007C11A9"/>
    <w:rsid w:val="007C2B34"/>
    <w:rsid w:val="007C5AF2"/>
    <w:rsid w:val="007C67A9"/>
    <w:rsid w:val="007C7D24"/>
    <w:rsid w:val="007D1259"/>
    <w:rsid w:val="007D373F"/>
    <w:rsid w:val="007D40BD"/>
    <w:rsid w:val="007D412B"/>
    <w:rsid w:val="007D635F"/>
    <w:rsid w:val="007D7B38"/>
    <w:rsid w:val="007E1866"/>
    <w:rsid w:val="007E306E"/>
    <w:rsid w:val="007E6434"/>
    <w:rsid w:val="007F1092"/>
    <w:rsid w:val="007F1792"/>
    <w:rsid w:val="00810ABF"/>
    <w:rsid w:val="00810CE7"/>
    <w:rsid w:val="008125EE"/>
    <w:rsid w:val="008145CA"/>
    <w:rsid w:val="00817532"/>
    <w:rsid w:val="00826DBC"/>
    <w:rsid w:val="0083209A"/>
    <w:rsid w:val="0083297D"/>
    <w:rsid w:val="00844B2C"/>
    <w:rsid w:val="00845A34"/>
    <w:rsid w:val="00850EC7"/>
    <w:rsid w:val="008528D9"/>
    <w:rsid w:val="0085599F"/>
    <w:rsid w:val="00855AF1"/>
    <w:rsid w:val="00867554"/>
    <w:rsid w:val="008724DE"/>
    <w:rsid w:val="008736EC"/>
    <w:rsid w:val="008821A0"/>
    <w:rsid w:val="00883AEA"/>
    <w:rsid w:val="00885B44"/>
    <w:rsid w:val="00893B4D"/>
    <w:rsid w:val="008A0562"/>
    <w:rsid w:val="008A204D"/>
    <w:rsid w:val="008A2AF7"/>
    <w:rsid w:val="008A3D57"/>
    <w:rsid w:val="008B0768"/>
    <w:rsid w:val="008C5D3B"/>
    <w:rsid w:val="008D181E"/>
    <w:rsid w:val="008D2E72"/>
    <w:rsid w:val="008D75F1"/>
    <w:rsid w:val="008E08BD"/>
    <w:rsid w:val="008E3D60"/>
    <w:rsid w:val="008F2CBA"/>
    <w:rsid w:val="008F4D6B"/>
    <w:rsid w:val="009008FE"/>
    <w:rsid w:val="0090165F"/>
    <w:rsid w:val="0090791E"/>
    <w:rsid w:val="00907E61"/>
    <w:rsid w:val="00910866"/>
    <w:rsid w:val="00912DC4"/>
    <w:rsid w:val="00912ED4"/>
    <w:rsid w:val="00913C99"/>
    <w:rsid w:val="00914112"/>
    <w:rsid w:val="0091701A"/>
    <w:rsid w:val="00917D1C"/>
    <w:rsid w:val="00921B3D"/>
    <w:rsid w:val="00921CB7"/>
    <w:rsid w:val="009230BB"/>
    <w:rsid w:val="00923331"/>
    <w:rsid w:val="00923C4F"/>
    <w:rsid w:val="00923DC7"/>
    <w:rsid w:val="00931FDA"/>
    <w:rsid w:val="00933B80"/>
    <w:rsid w:val="00933C6D"/>
    <w:rsid w:val="00934009"/>
    <w:rsid w:val="009344F6"/>
    <w:rsid w:val="009348FF"/>
    <w:rsid w:val="00940102"/>
    <w:rsid w:val="009431E9"/>
    <w:rsid w:val="009472C4"/>
    <w:rsid w:val="00950E88"/>
    <w:rsid w:val="0095331B"/>
    <w:rsid w:val="009537FF"/>
    <w:rsid w:val="00953C2F"/>
    <w:rsid w:val="009607AA"/>
    <w:rsid w:val="0096416A"/>
    <w:rsid w:val="00966C2F"/>
    <w:rsid w:val="0096795A"/>
    <w:rsid w:val="00970AB1"/>
    <w:rsid w:val="00971FA9"/>
    <w:rsid w:val="00973163"/>
    <w:rsid w:val="009802F3"/>
    <w:rsid w:val="009803B2"/>
    <w:rsid w:val="009819A5"/>
    <w:rsid w:val="00987CFA"/>
    <w:rsid w:val="00992957"/>
    <w:rsid w:val="00992A51"/>
    <w:rsid w:val="009A1EAF"/>
    <w:rsid w:val="009A5753"/>
    <w:rsid w:val="009A645C"/>
    <w:rsid w:val="009A66CB"/>
    <w:rsid w:val="009C18D3"/>
    <w:rsid w:val="009C2805"/>
    <w:rsid w:val="009C5FB8"/>
    <w:rsid w:val="009C64EF"/>
    <w:rsid w:val="009D0525"/>
    <w:rsid w:val="009D10B9"/>
    <w:rsid w:val="009D4635"/>
    <w:rsid w:val="009D5F01"/>
    <w:rsid w:val="009E7530"/>
    <w:rsid w:val="009E7FC4"/>
    <w:rsid w:val="009F229B"/>
    <w:rsid w:val="009F2F41"/>
    <w:rsid w:val="009F51D9"/>
    <w:rsid w:val="009F6B34"/>
    <w:rsid w:val="009F7AAC"/>
    <w:rsid w:val="00A00BE9"/>
    <w:rsid w:val="00A02F56"/>
    <w:rsid w:val="00A0406E"/>
    <w:rsid w:val="00A05EB0"/>
    <w:rsid w:val="00A2119D"/>
    <w:rsid w:val="00A23CC7"/>
    <w:rsid w:val="00A25108"/>
    <w:rsid w:val="00A25A34"/>
    <w:rsid w:val="00A25CC7"/>
    <w:rsid w:val="00A30A54"/>
    <w:rsid w:val="00A31E71"/>
    <w:rsid w:val="00A332B1"/>
    <w:rsid w:val="00A35464"/>
    <w:rsid w:val="00A3714A"/>
    <w:rsid w:val="00A41355"/>
    <w:rsid w:val="00A42C55"/>
    <w:rsid w:val="00A43B92"/>
    <w:rsid w:val="00A44720"/>
    <w:rsid w:val="00A47BC2"/>
    <w:rsid w:val="00A52B1A"/>
    <w:rsid w:val="00A57CB2"/>
    <w:rsid w:val="00A60390"/>
    <w:rsid w:val="00A6179E"/>
    <w:rsid w:val="00A63C89"/>
    <w:rsid w:val="00A6638F"/>
    <w:rsid w:val="00A66F67"/>
    <w:rsid w:val="00A70748"/>
    <w:rsid w:val="00A70879"/>
    <w:rsid w:val="00A724F1"/>
    <w:rsid w:val="00A72566"/>
    <w:rsid w:val="00A77693"/>
    <w:rsid w:val="00A960C0"/>
    <w:rsid w:val="00AA1951"/>
    <w:rsid w:val="00AA4BB3"/>
    <w:rsid w:val="00AA5E04"/>
    <w:rsid w:val="00AA6370"/>
    <w:rsid w:val="00AA68E7"/>
    <w:rsid w:val="00AA6D9E"/>
    <w:rsid w:val="00AB1EE1"/>
    <w:rsid w:val="00AB36C0"/>
    <w:rsid w:val="00AC27AB"/>
    <w:rsid w:val="00AC2E37"/>
    <w:rsid w:val="00AC6A34"/>
    <w:rsid w:val="00AD7009"/>
    <w:rsid w:val="00AE1C70"/>
    <w:rsid w:val="00AE1DF3"/>
    <w:rsid w:val="00AE4752"/>
    <w:rsid w:val="00AE479C"/>
    <w:rsid w:val="00AE59F8"/>
    <w:rsid w:val="00AE76EB"/>
    <w:rsid w:val="00AF1D47"/>
    <w:rsid w:val="00AF7EE6"/>
    <w:rsid w:val="00B01CE1"/>
    <w:rsid w:val="00B01E8F"/>
    <w:rsid w:val="00B02B7D"/>
    <w:rsid w:val="00B13092"/>
    <w:rsid w:val="00B1437A"/>
    <w:rsid w:val="00B150CE"/>
    <w:rsid w:val="00B17F60"/>
    <w:rsid w:val="00B20629"/>
    <w:rsid w:val="00B22697"/>
    <w:rsid w:val="00B2405D"/>
    <w:rsid w:val="00B24F68"/>
    <w:rsid w:val="00B277E0"/>
    <w:rsid w:val="00B32817"/>
    <w:rsid w:val="00B4343C"/>
    <w:rsid w:val="00B52E2D"/>
    <w:rsid w:val="00B63C9F"/>
    <w:rsid w:val="00B66FCA"/>
    <w:rsid w:val="00B72373"/>
    <w:rsid w:val="00B76653"/>
    <w:rsid w:val="00B81E37"/>
    <w:rsid w:val="00B833A7"/>
    <w:rsid w:val="00B834C0"/>
    <w:rsid w:val="00B85177"/>
    <w:rsid w:val="00B93814"/>
    <w:rsid w:val="00B94021"/>
    <w:rsid w:val="00B959FE"/>
    <w:rsid w:val="00B96CD9"/>
    <w:rsid w:val="00BA08C9"/>
    <w:rsid w:val="00BA262D"/>
    <w:rsid w:val="00BA2A02"/>
    <w:rsid w:val="00BA498E"/>
    <w:rsid w:val="00BA4A15"/>
    <w:rsid w:val="00BA65FC"/>
    <w:rsid w:val="00BC3D1B"/>
    <w:rsid w:val="00BC46AF"/>
    <w:rsid w:val="00BC5730"/>
    <w:rsid w:val="00BC79EB"/>
    <w:rsid w:val="00BD0FA0"/>
    <w:rsid w:val="00BD6023"/>
    <w:rsid w:val="00BE6C63"/>
    <w:rsid w:val="00BF392D"/>
    <w:rsid w:val="00BF47B9"/>
    <w:rsid w:val="00BF51B5"/>
    <w:rsid w:val="00C01D48"/>
    <w:rsid w:val="00C0343B"/>
    <w:rsid w:val="00C03B3A"/>
    <w:rsid w:val="00C076F2"/>
    <w:rsid w:val="00C07C9C"/>
    <w:rsid w:val="00C07F92"/>
    <w:rsid w:val="00C1038B"/>
    <w:rsid w:val="00C15780"/>
    <w:rsid w:val="00C24284"/>
    <w:rsid w:val="00C247EB"/>
    <w:rsid w:val="00C25BDA"/>
    <w:rsid w:val="00C260D9"/>
    <w:rsid w:val="00C26E75"/>
    <w:rsid w:val="00C304FF"/>
    <w:rsid w:val="00C53971"/>
    <w:rsid w:val="00C54FB1"/>
    <w:rsid w:val="00C5662A"/>
    <w:rsid w:val="00C603E2"/>
    <w:rsid w:val="00C63AD6"/>
    <w:rsid w:val="00C66CCD"/>
    <w:rsid w:val="00C71948"/>
    <w:rsid w:val="00C723B2"/>
    <w:rsid w:val="00C729D6"/>
    <w:rsid w:val="00C72AD0"/>
    <w:rsid w:val="00C72E2C"/>
    <w:rsid w:val="00C739EE"/>
    <w:rsid w:val="00C74256"/>
    <w:rsid w:val="00C7512B"/>
    <w:rsid w:val="00C766D3"/>
    <w:rsid w:val="00C769FD"/>
    <w:rsid w:val="00C801C3"/>
    <w:rsid w:val="00C80F9F"/>
    <w:rsid w:val="00C81832"/>
    <w:rsid w:val="00C84828"/>
    <w:rsid w:val="00C865F7"/>
    <w:rsid w:val="00C87FD1"/>
    <w:rsid w:val="00C90FD8"/>
    <w:rsid w:val="00C92BFF"/>
    <w:rsid w:val="00C94F42"/>
    <w:rsid w:val="00CA0D78"/>
    <w:rsid w:val="00CA1445"/>
    <w:rsid w:val="00CA48BA"/>
    <w:rsid w:val="00CA5F1F"/>
    <w:rsid w:val="00CA724E"/>
    <w:rsid w:val="00CA7B86"/>
    <w:rsid w:val="00CB1F07"/>
    <w:rsid w:val="00CB27A8"/>
    <w:rsid w:val="00CB51EE"/>
    <w:rsid w:val="00CB58EC"/>
    <w:rsid w:val="00CB6C6B"/>
    <w:rsid w:val="00CB6DD7"/>
    <w:rsid w:val="00CC5BF9"/>
    <w:rsid w:val="00CD49D1"/>
    <w:rsid w:val="00CD6C10"/>
    <w:rsid w:val="00CE1F09"/>
    <w:rsid w:val="00CE3166"/>
    <w:rsid w:val="00CE47D6"/>
    <w:rsid w:val="00CE7182"/>
    <w:rsid w:val="00CE7459"/>
    <w:rsid w:val="00CF730E"/>
    <w:rsid w:val="00D0056A"/>
    <w:rsid w:val="00D03C2B"/>
    <w:rsid w:val="00D06DC3"/>
    <w:rsid w:val="00D11DFC"/>
    <w:rsid w:val="00D2277F"/>
    <w:rsid w:val="00D22C6F"/>
    <w:rsid w:val="00D27C74"/>
    <w:rsid w:val="00D33B22"/>
    <w:rsid w:val="00D34BF6"/>
    <w:rsid w:val="00D34DCD"/>
    <w:rsid w:val="00D34EF2"/>
    <w:rsid w:val="00D35898"/>
    <w:rsid w:val="00D36D90"/>
    <w:rsid w:val="00D435F6"/>
    <w:rsid w:val="00D43D63"/>
    <w:rsid w:val="00D52FC8"/>
    <w:rsid w:val="00D57F10"/>
    <w:rsid w:val="00D65C76"/>
    <w:rsid w:val="00D6600E"/>
    <w:rsid w:val="00D76E28"/>
    <w:rsid w:val="00D81C9C"/>
    <w:rsid w:val="00D825C9"/>
    <w:rsid w:val="00D86053"/>
    <w:rsid w:val="00D87B30"/>
    <w:rsid w:val="00D93CF5"/>
    <w:rsid w:val="00DA076E"/>
    <w:rsid w:val="00DA2F73"/>
    <w:rsid w:val="00DA3BA2"/>
    <w:rsid w:val="00DA42E8"/>
    <w:rsid w:val="00DA5025"/>
    <w:rsid w:val="00DA7D57"/>
    <w:rsid w:val="00DB119B"/>
    <w:rsid w:val="00DB5521"/>
    <w:rsid w:val="00DB73DE"/>
    <w:rsid w:val="00DB7B65"/>
    <w:rsid w:val="00DB7D6B"/>
    <w:rsid w:val="00DC0758"/>
    <w:rsid w:val="00DC1448"/>
    <w:rsid w:val="00DC193F"/>
    <w:rsid w:val="00DC3C4F"/>
    <w:rsid w:val="00DC4003"/>
    <w:rsid w:val="00DC462F"/>
    <w:rsid w:val="00DD05D5"/>
    <w:rsid w:val="00DD7071"/>
    <w:rsid w:val="00DE651F"/>
    <w:rsid w:val="00DF45F5"/>
    <w:rsid w:val="00DF4921"/>
    <w:rsid w:val="00E009AE"/>
    <w:rsid w:val="00E02569"/>
    <w:rsid w:val="00E10A21"/>
    <w:rsid w:val="00E1431D"/>
    <w:rsid w:val="00E15738"/>
    <w:rsid w:val="00E16682"/>
    <w:rsid w:val="00E174EB"/>
    <w:rsid w:val="00E1799F"/>
    <w:rsid w:val="00E21125"/>
    <w:rsid w:val="00E218FF"/>
    <w:rsid w:val="00E24FA3"/>
    <w:rsid w:val="00E276FB"/>
    <w:rsid w:val="00E2772B"/>
    <w:rsid w:val="00E328CD"/>
    <w:rsid w:val="00E45954"/>
    <w:rsid w:val="00E46A22"/>
    <w:rsid w:val="00E514C2"/>
    <w:rsid w:val="00E55185"/>
    <w:rsid w:val="00E60788"/>
    <w:rsid w:val="00E60EBA"/>
    <w:rsid w:val="00E655FD"/>
    <w:rsid w:val="00E73BA6"/>
    <w:rsid w:val="00E75D90"/>
    <w:rsid w:val="00E767C5"/>
    <w:rsid w:val="00E823CD"/>
    <w:rsid w:val="00E835AF"/>
    <w:rsid w:val="00E97EF8"/>
    <w:rsid w:val="00EA5C21"/>
    <w:rsid w:val="00EB41AF"/>
    <w:rsid w:val="00EC4256"/>
    <w:rsid w:val="00EC63CB"/>
    <w:rsid w:val="00ED2FD5"/>
    <w:rsid w:val="00ED4787"/>
    <w:rsid w:val="00ED4ACE"/>
    <w:rsid w:val="00ED5D45"/>
    <w:rsid w:val="00EE44D7"/>
    <w:rsid w:val="00EE54B3"/>
    <w:rsid w:val="00EF0EDB"/>
    <w:rsid w:val="00EF1FA7"/>
    <w:rsid w:val="00EF4BC3"/>
    <w:rsid w:val="00EF7613"/>
    <w:rsid w:val="00F05B99"/>
    <w:rsid w:val="00F06205"/>
    <w:rsid w:val="00F13B57"/>
    <w:rsid w:val="00F14C6D"/>
    <w:rsid w:val="00F20E94"/>
    <w:rsid w:val="00F2562F"/>
    <w:rsid w:val="00F26EB2"/>
    <w:rsid w:val="00F3100E"/>
    <w:rsid w:val="00F3147B"/>
    <w:rsid w:val="00F31F7C"/>
    <w:rsid w:val="00F34976"/>
    <w:rsid w:val="00F37CFA"/>
    <w:rsid w:val="00F43872"/>
    <w:rsid w:val="00F444B2"/>
    <w:rsid w:val="00F447EB"/>
    <w:rsid w:val="00F45DF7"/>
    <w:rsid w:val="00F4603D"/>
    <w:rsid w:val="00F4605A"/>
    <w:rsid w:val="00F463E0"/>
    <w:rsid w:val="00F47428"/>
    <w:rsid w:val="00F543EE"/>
    <w:rsid w:val="00F55B66"/>
    <w:rsid w:val="00F563D9"/>
    <w:rsid w:val="00F5715D"/>
    <w:rsid w:val="00F6297B"/>
    <w:rsid w:val="00F645FB"/>
    <w:rsid w:val="00F67CEC"/>
    <w:rsid w:val="00F71533"/>
    <w:rsid w:val="00F71A6E"/>
    <w:rsid w:val="00F72C8C"/>
    <w:rsid w:val="00F76FC8"/>
    <w:rsid w:val="00F832E6"/>
    <w:rsid w:val="00F83803"/>
    <w:rsid w:val="00F862EC"/>
    <w:rsid w:val="00F87251"/>
    <w:rsid w:val="00F9020E"/>
    <w:rsid w:val="00F9078E"/>
    <w:rsid w:val="00F9193C"/>
    <w:rsid w:val="00F95982"/>
    <w:rsid w:val="00F97E9A"/>
    <w:rsid w:val="00FA48C9"/>
    <w:rsid w:val="00FB0646"/>
    <w:rsid w:val="00FB3F57"/>
    <w:rsid w:val="00FC4310"/>
    <w:rsid w:val="00FC582E"/>
    <w:rsid w:val="00FD179D"/>
    <w:rsid w:val="00FD3AB3"/>
    <w:rsid w:val="00FD45EC"/>
    <w:rsid w:val="00FD5ABE"/>
    <w:rsid w:val="00FD754C"/>
    <w:rsid w:val="00FE2DF0"/>
    <w:rsid w:val="00FE5AA3"/>
    <w:rsid w:val="00FE63A2"/>
    <w:rsid w:val="00FF42D4"/>
    <w:rsid w:val="00FF7C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D10ACF4"/>
  <w15:chartTrackingRefBased/>
  <w15:docId w15:val="{A37625DC-647F-4F34-BC67-E3AAAC57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A25108"/>
    <w:pPr>
      <w:ind w:left="720"/>
      <w:contextualSpacing/>
    </w:pPr>
  </w:style>
  <w:style w:type="character" w:styleId="CommentReference">
    <w:name w:val="annotation reference"/>
    <w:basedOn w:val="DefaultParagraphFont"/>
    <w:semiHidden/>
    <w:unhideWhenUsed/>
    <w:locked/>
    <w:rsid w:val="009E7530"/>
    <w:rPr>
      <w:sz w:val="16"/>
      <w:szCs w:val="16"/>
    </w:rPr>
  </w:style>
  <w:style w:type="paragraph" w:styleId="CommentText">
    <w:name w:val="annotation text"/>
    <w:basedOn w:val="Normal"/>
    <w:link w:val="CommentTextChar"/>
    <w:semiHidden/>
    <w:unhideWhenUsed/>
    <w:locked/>
    <w:rsid w:val="009E7530"/>
    <w:rPr>
      <w:sz w:val="20"/>
      <w:szCs w:val="20"/>
    </w:rPr>
  </w:style>
  <w:style w:type="character" w:customStyle="1" w:styleId="CommentTextChar">
    <w:name w:val="Comment Text Char"/>
    <w:basedOn w:val="DefaultParagraphFont"/>
    <w:link w:val="CommentText"/>
    <w:semiHidden/>
    <w:rsid w:val="009E7530"/>
    <w:rPr>
      <w:rFonts w:ascii="Arial" w:hAnsi="Arial"/>
    </w:rPr>
  </w:style>
  <w:style w:type="paragraph" w:styleId="CommentSubject">
    <w:name w:val="annotation subject"/>
    <w:basedOn w:val="CommentText"/>
    <w:next w:val="CommentText"/>
    <w:link w:val="CommentSubjectChar"/>
    <w:semiHidden/>
    <w:unhideWhenUsed/>
    <w:locked/>
    <w:rsid w:val="009E7530"/>
    <w:rPr>
      <w:b/>
      <w:bCs/>
    </w:rPr>
  </w:style>
  <w:style w:type="character" w:customStyle="1" w:styleId="CommentSubjectChar">
    <w:name w:val="Comment Subject Char"/>
    <w:basedOn w:val="CommentTextChar"/>
    <w:link w:val="CommentSubject"/>
    <w:semiHidden/>
    <w:rsid w:val="009E7530"/>
    <w:rPr>
      <w:rFonts w:ascii="Arial" w:hAnsi="Arial"/>
      <w:b/>
      <w:bCs/>
    </w:rPr>
  </w:style>
  <w:style w:type="paragraph" w:styleId="BalloonText">
    <w:name w:val="Balloon Text"/>
    <w:basedOn w:val="Normal"/>
    <w:link w:val="BalloonTextChar"/>
    <w:semiHidden/>
    <w:unhideWhenUsed/>
    <w:locked/>
    <w:rsid w:val="009E7530"/>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E7530"/>
    <w:rPr>
      <w:rFonts w:ascii="Segoe UI" w:hAnsi="Segoe UI" w:cs="Segoe UI"/>
      <w:sz w:val="18"/>
      <w:szCs w:val="18"/>
    </w:rPr>
  </w:style>
  <w:style w:type="paragraph" w:customStyle="1" w:styleId="hr">
    <w:name w:val="hr"/>
    <w:basedOn w:val="Normal"/>
    <w:rsid w:val="00D2277F"/>
    <w:pPr>
      <w:spacing w:before="100" w:beforeAutospacing="1" w:after="100" w:afterAutospacing="1"/>
    </w:pPr>
    <w:rPr>
      <w:rFonts w:ascii="Times New Roman" w:hAnsi="Times New Roman"/>
    </w:rPr>
  </w:style>
  <w:style w:type="character" w:customStyle="1" w:styleId="charsectno">
    <w:name w:val="charsectno"/>
    <w:basedOn w:val="DefaultParagraphFont"/>
    <w:rsid w:val="00D2277F"/>
  </w:style>
  <w:style w:type="paragraph" w:customStyle="1" w:styleId="r1">
    <w:name w:val="r1"/>
    <w:basedOn w:val="Normal"/>
    <w:rsid w:val="00D2277F"/>
    <w:pPr>
      <w:spacing w:before="100" w:beforeAutospacing="1" w:after="100" w:afterAutospacing="1"/>
    </w:pPr>
    <w:rPr>
      <w:rFonts w:ascii="Times New Roman" w:hAnsi="Times New Roman"/>
    </w:rPr>
  </w:style>
  <w:style w:type="paragraph" w:customStyle="1" w:styleId="r2">
    <w:name w:val="r2"/>
    <w:basedOn w:val="Normal"/>
    <w:rsid w:val="00D2277F"/>
    <w:pPr>
      <w:spacing w:before="100" w:beforeAutospacing="1" w:after="100" w:afterAutospacing="1"/>
    </w:pPr>
    <w:rPr>
      <w:rFonts w:ascii="Times New Roman" w:hAnsi="Times New Roman"/>
    </w:rPr>
  </w:style>
  <w:style w:type="paragraph" w:customStyle="1" w:styleId="tablecolhead">
    <w:name w:val="tablecolhead"/>
    <w:basedOn w:val="Normal"/>
    <w:rsid w:val="00D2277F"/>
    <w:pPr>
      <w:spacing w:before="100" w:beforeAutospacing="1" w:after="100" w:afterAutospacing="1"/>
    </w:pPr>
    <w:rPr>
      <w:rFonts w:ascii="Times New Roman" w:hAnsi="Times New Roman"/>
    </w:rPr>
  </w:style>
  <w:style w:type="paragraph" w:customStyle="1" w:styleId="tabletext">
    <w:name w:val="tabletext"/>
    <w:basedOn w:val="Normal"/>
    <w:rsid w:val="00D2277F"/>
    <w:pPr>
      <w:spacing w:before="100" w:beforeAutospacing="1" w:after="100" w:afterAutospacing="1"/>
    </w:pPr>
    <w:rPr>
      <w:rFonts w:ascii="Times New Roman" w:hAnsi="Times New Roman"/>
    </w:rPr>
  </w:style>
  <w:style w:type="paragraph" w:customStyle="1" w:styleId="AddressBlock">
    <w:name w:val="Address Block"/>
    <w:basedOn w:val="BodyText"/>
    <w:semiHidden/>
    <w:rsid w:val="00C766D3"/>
    <w:pPr>
      <w:keepNext/>
      <w:keepLines/>
      <w:spacing w:after="0"/>
    </w:pPr>
    <w:rPr>
      <w:rFonts w:cs="ArialMT"/>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3413">
      <w:bodyDiv w:val="1"/>
      <w:marLeft w:val="0"/>
      <w:marRight w:val="0"/>
      <w:marTop w:val="0"/>
      <w:marBottom w:val="0"/>
      <w:divBdr>
        <w:top w:val="none" w:sz="0" w:space="0" w:color="auto"/>
        <w:left w:val="none" w:sz="0" w:space="0" w:color="auto"/>
        <w:bottom w:val="none" w:sz="0" w:space="0" w:color="auto"/>
        <w:right w:val="none" w:sz="0" w:space="0" w:color="auto"/>
      </w:divBdr>
    </w:div>
    <w:div w:id="542255257">
      <w:bodyDiv w:val="1"/>
      <w:marLeft w:val="0"/>
      <w:marRight w:val="0"/>
      <w:marTop w:val="0"/>
      <w:marBottom w:val="0"/>
      <w:divBdr>
        <w:top w:val="none" w:sz="0" w:space="0" w:color="auto"/>
        <w:left w:val="none" w:sz="0" w:space="0" w:color="auto"/>
        <w:bottom w:val="none" w:sz="0" w:space="0" w:color="auto"/>
        <w:right w:val="none" w:sz="0" w:space="0" w:color="auto"/>
      </w:divBdr>
      <w:divsChild>
        <w:div w:id="1849977431">
          <w:marLeft w:val="0"/>
          <w:marRight w:val="0"/>
          <w:marTop w:val="0"/>
          <w:marBottom w:val="0"/>
          <w:divBdr>
            <w:top w:val="none" w:sz="0" w:space="0" w:color="auto"/>
            <w:left w:val="none" w:sz="0" w:space="0" w:color="auto"/>
            <w:bottom w:val="none" w:sz="0" w:space="0" w:color="auto"/>
            <w:right w:val="none" w:sz="0" w:space="0" w:color="auto"/>
          </w:divBdr>
          <w:divsChild>
            <w:div w:id="1953171886">
              <w:marLeft w:val="0"/>
              <w:marRight w:val="0"/>
              <w:marTop w:val="0"/>
              <w:marBottom w:val="0"/>
              <w:divBdr>
                <w:top w:val="none" w:sz="0" w:space="0" w:color="auto"/>
                <w:left w:val="none" w:sz="0" w:space="0" w:color="auto"/>
                <w:bottom w:val="none" w:sz="0" w:space="0" w:color="auto"/>
                <w:right w:val="none" w:sz="0" w:space="0" w:color="auto"/>
              </w:divBdr>
              <w:divsChild>
                <w:div w:id="1990279162">
                  <w:marLeft w:val="0"/>
                  <w:marRight w:val="0"/>
                  <w:marTop w:val="0"/>
                  <w:marBottom w:val="0"/>
                  <w:divBdr>
                    <w:top w:val="none" w:sz="0" w:space="0" w:color="auto"/>
                    <w:left w:val="none" w:sz="0" w:space="0" w:color="auto"/>
                    <w:bottom w:val="none" w:sz="0" w:space="0" w:color="auto"/>
                    <w:right w:val="none" w:sz="0" w:space="0" w:color="auto"/>
                  </w:divBdr>
                  <w:divsChild>
                    <w:div w:id="1736468677">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sChild>
                            <w:div w:id="677731480">
                              <w:marLeft w:val="0"/>
                              <w:marRight w:val="0"/>
                              <w:marTop w:val="0"/>
                              <w:marBottom w:val="0"/>
                              <w:divBdr>
                                <w:top w:val="none" w:sz="0" w:space="0" w:color="auto"/>
                                <w:left w:val="none" w:sz="0" w:space="0" w:color="auto"/>
                                <w:bottom w:val="none" w:sz="0" w:space="0" w:color="auto"/>
                                <w:right w:val="none" w:sz="0" w:space="0" w:color="auto"/>
                              </w:divBdr>
                              <w:divsChild>
                                <w:div w:id="836118945">
                                  <w:marLeft w:val="0"/>
                                  <w:marRight w:val="0"/>
                                  <w:marTop w:val="0"/>
                                  <w:marBottom w:val="0"/>
                                  <w:divBdr>
                                    <w:top w:val="none" w:sz="0" w:space="0" w:color="auto"/>
                                    <w:left w:val="none" w:sz="0" w:space="0" w:color="auto"/>
                                    <w:bottom w:val="none" w:sz="0" w:space="0" w:color="auto"/>
                                    <w:right w:val="none" w:sz="0" w:space="0" w:color="auto"/>
                                  </w:divBdr>
                                  <w:divsChild>
                                    <w:div w:id="1054235759">
                                      <w:marLeft w:val="0"/>
                                      <w:marRight w:val="0"/>
                                      <w:marTop w:val="0"/>
                                      <w:marBottom w:val="0"/>
                                      <w:divBdr>
                                        <w:top w:val="none" w:sz="0" w:space="0" w:color="auto"/>
                                        <w:left w:val="none" w:sz="0" w:space="0" w:color="auto"/>
                                        <w:bottom w:val="none" w:sz="0" w:space="0" w:color="auto"/>
                                        <w:right w:val="none" w:sz="0" w:space="0" w:color="auto"/>
                                      </w:divBdr>
                                      <w:divsChild>
                                        <w:div w:id="1956129783">
                                          <w:marLeft w:val="0"/>
                                          <w:marRight w:val="0"/>
                                          <w:marTop w:val="0"/>
                                          <w:marBottom w:val="0"/>
                                          <w:divBdr>
                                            <w:top w:val="none" w:sz="0" w:space="0" w:color="auto"/>
                                            <w:left w:val="none" w:sz="0" w:space="0" w:color="auto"/>
                                            <w:bottom w:val="none" w:sz="0" w:space="0" w:color="auto"/>
                                            <w:right w:val="none" w:sz="0" w:space="0" w:color="auto"/>
                                          </w:divBdr>
                                          <w:divsChild>
                                            <w:div w:id="2096243334">
                                              <w:marLeft w:val="0"/>
                                              <w:marRight w:val="0"/>
                                              <w:marTop w:val="0"/>
                                              <w:marBottom w:val="0"/>
                                              <w:divBdr>
                                                <w:top w:val="none" w:sz="0" w:space="0" w:color="auto"/>
                                                <w:left w:val="none" w:sz="0" w:space="0" w:color="auto"/>
                                                <w:bottom w:val="none" w:sz="0" w:space="0" w:color="auto"/>
                                                <w:right w:val="none" w:sz="0" w:space="0" w:color="auto"/>
                                              </w:divBdr>
                                              <w:divsChild>
                                                <w:div w:id="954602761">
                                                  <w:marLeft w:val="0"/>
                                                  <w:marRight w:val="0"/>
                                                  <w:marTop w:val="0"/>
                                                  <w:marBottom w:val="0"/>
                                                  <w:divBdr>
                                                    <w:top w:val="none" w:sz="0" w:space="0" w:color="auto"/>
                                                    <w:left w:val="none" w:sz="0" w:space="0" w:color="auto"/>
                                                    <w:bottom w:val="none" w:sz="0" w:space="0" w:color="auto"/>
                                                    <w:right w:val="none" w:sz="0" w:space="0" w:color="auto"/>
                                                  </w:divBdr>
                                                  <w:divsChild>
                                                    <w:div w:id="233321163">
                                                      <w:marLeft w:val="0"/>
                                                      <w:marRight w:val="0"/>
                                                      <w:marTop w:val="0"/>
                                                      <w:marBottom w:val="0"/>
                                                      <w:divBdr>
                                                        <w:top w:val="none" w:sz="0" w:space="0" w:color="auto"/>
                                                        <w:left w:val="none" w:sz="0" w:space="0" w:color="auto"/>
                                                        <w:bottom w:val="none" w:sz="0" w:space="0" w:color="auto"/>
                                                        <w:right w:val="none" w:sz="0" w:space="0" w:color="auto"/>
                                                      </w:divBdr>
                                                      <w:divsChild>
                                                        <w:div w:id="14648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7247228">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15393638">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67128882">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35538558">
      <w:bodyDiv w:val="1"/>
      <w:marLeft w:val="0"/>
      <w:marRight w:val="0"/>
      <w:marTop w:val="0"/>
      <w:marBottom w:val="0"/>
      <w:divBdr>
        <w:top w:val="none" w:sz="0" w:space="0" w:color="auto"/>
        <w:left w:val="none" w:sz="0" w:space="0" w:color="auto"/>
        <w:bottom w:val="none" w:sz="0" w:space="0" w:color="auto"/>
        <w:right w:val="none" w:sz="0" w:space="0" w:color="auto"/>
      </w:divBdr>
    </w:div>
    <w:div w:id="1099984757">
      <w:bodyDiv w:val="1"/>
      <w:marLeft w:val="0"/>
      <w:marRight w:val="0"/>
      <w:marTop w:val="0"/>
      <w:marBottom w:val="0"/>
      <w:divBdr>
        <w:top w:val="none" w:sz="0" w:space="0" w:color="auto"/>
        <w:left w:val="none" w:sz="0" w:space="0" w:color="auto"/>
        <w:bottom w:val="none" w:sz="0" w:space="0" w:color="auto"/>
        <w:right w:val="none" w:sz="0" w:space="0" w:color="auto"/>
      </w:divBdr>
    </w:div>
    <w:div w:id="1414281114">
      <w:bodyDiv w:val="1"/>
      <w:marLeft w:val="0"/>
      <w:marRight w:val="0"/>
      <w:marTop w:val="0"/>
      <w:marBottom w:val="0"/>
      <w:divBdr>
        <w:top w:val="none" w:sz="0" w:space="0" w:color="auto"/>
        <w:left w:val="none" w:sz="0" w:space="0" w:color="auto"/>
        <w:bottom w:val="none" w:sz="0" w:space="0" w:color="auto"/>
        <w:right w:val="none" w:sz="0" w:space="0" w:color="auto"/>
      </w:divBdr>
    </w:div>
    <w:div w:id="1534150596">
      <w:bodyDiv w:val="1"/>
      <w:marLeft w:val="0"/>
      <w:marRight w:val="0"/>
      <w:marTop w:val="0"/>
      <w:marBottom w:val="0"/>
      <w:divBdr>
        <w:top w:val="none" w:sz="0" w:space="0" w:color="auto"/>
        <w:left w:val="none" w:sz="0" w:space="0" w:color="auto"/>
        <w:bottom w:val="none" w:sz="0" w:space="0" w:color="auto"/>
        <w:right w:val="none" w:sz="0" w:space="0" w:color="auto"/>
      </w:divBdr>
      <w:divsChild>
        <w:div w:id="66266981">
          <w:marLeft w:val="0"/>
          <w:marRight w:val="0"/>
          <w:marTop w:val="0"/>
          <w:marBottom w:val="0"/>
          <w:divBdr>
            <w:top w:val="none" w:sz="0" w:space="0" w:color="auto"/>
            <w:left w:val="none" w:sz="0" w:space="0" w:color="auto"/>
            <w:bottom w:val="none" w:sz="0" w:space="0" w:color="auto"/>
            <w:right w:val="none" w:sz="0" w:space="0" w:color="auto"/>
          </w:divBdr>
          <w:divsChild>
            <w:div w:id="1574776268">
              <w:marLeft w:val="0"/>
              <w:marRight w:val="0"/>
              <w:marTop w:val="0"/>
              <w:marBottom w:val="0"/>
              <w:divBdr>
                <w:top w:val="none" w:sz="0" w:space="0" w:color="auto"/>
                <w:left w:val="none" w:sz="0" w:space="0" w:color="auto"/>
                <w:bottom w:val="none" w:sz="0" w:space="0" w:color="auto"/>
                <w:right w:val="none" w:sz="0" w:space="0" w:color="auto"/>
              </w:divBdr>
              <w:divsChild>
                <w:div w:id="1117522854">
                  <w:marLeft w:val="0"/>
                  <w:marRight w:val="0"/>
                  <w:marTop w:val="0"/>
                  <w:marBottom w:val="0"/>
                  <w:divBdr>
                    <w:top w:val="none" w:sz="0" w:space="0" w:color="auto"/>
                    <w:left w:val="none" w:sz="0" w:space="0" w:color="auto"/>
                    <w:bottom w:val="none" w:sz="0" w:space="0" w:color="auto"/>
                    <w:right w:val="none" w:sz="0" w:space="0" w:color="auto"/>
                  </w:divBdr>
                  <w:divsChild>
                    <w:div w:id="134302553">
                      <w:marLeft w:val="0"/>
                      <w:marRight w:val="0"/>
                      <w:marTop w:val="0"/>
                      <w:marBottom w:val="0"/>
                      <w:divBdr>
                        <w:top w:val="none" w:sz="0" w:space="0" w:color="auto"/>
                        <w:left w:val="none" w:sz="0" w:space="0" w:color="auto"/>
                        <w:bottom w:val="none" w:sz="0" w:space="0" w:color="auto"/>
                        <w:right w:val="none" w:sz="0" w:space="0" w:color="auto"/>
                      </w:divBdr>
                      <w:divsChild>
                        <w:div w:id="1555702470">
                          <w:marLeft w:val="0"/>
                          <w:marRight w:val="0"/>
                          <w:marTop w:val="0"/>
                          <w:marBottom w:val="0"/>
                          <w:divBdr>
                            <w:top w:val="none" w:sz="0" w:space="0" w:color="auto"/>
                            <w:left w:val="none" w:sz="0" w:space="0" w:color="auto"/>
                            <w:bottom w:val="none" w:sz="0" w:space="0" w:color="auto"/>
                            <w:right w:val="none" w:sz="0" w:space="0" w:color="auto"/>
                          </w:divBdr>
                          <w:divsChild>
                            <w:div w:id="1745489416">
                              <w:marLeft w:val="0"/>
                              <w:marRight w:val="0"/>
                              <w:marTop w:val="0"/>
                              <w:marBottom w:val="0"/>
                              <w:divBdr>
                                <w:top w:val="none" w:sz="0" w:space="0" w:color="auto"/>
                                <w:left w:val="none" w:sz="0" w:space="0" w:color="auto"/>
                                <w:bottom w:val="none" w:sz="0" w:space="0" w:color="auto"/>
                                <w:right w:val="none" w:sz="0" w:space="0" w:color="auto"/>
                              </w:divBdr>
                              <w:divsChild>
                                <w:div w:id="89158813">
                                  <w:marLeft w:val="0"/>
                                  <w:marRight w:val="0"/>
                                  <w:marTop w:val="0"/>
                                  <w:marBottom w:val="0"/>
                                  <w:divBdr>
                                    <w:top w:val="none" w:sz="0" w:space="0" w:color="auto"/>
                                    <w:left w:val="none" w:sz="0" w:space="0" w:color="auto"/>
                                    <w:bottom w:val="none" w:sz="0" w:space="0" w:color="auto"/>
                                    <w:right w:val="none" w:sz="0" w:space="0" w:color="auto"/>
                                  </w:divBdr>
                                  <w:divsChild>
                                    <w:div w:id="1110776724">
                                      <w:marLeft w:val="0"/>
                                      <w:marRight w:val="0"/>
                                      <w:marTop w:val="0"/>
                                      <w:marBottom w:val="0"/>
                                      <w:divBdr>
                                        <w:top w:val="none" w:sz="0" w:space="0" w:color="auto"/>
                                        <w:left w:val="none" w:sz="0" w:space="0" w:color="auto"/>
                                        <w:bottom w:val="none" w:sz="0" w:space="0" w:color="auto"/>
                                        <w:right w:val="none" w:sz="0" w:space="0" w:color="auto"/>
                                      </w:divBdr>
                                      <w:divsChild>
                                        <w:div w:id="1949700129">
                                          <w:marLeft w:val="0"/>
                                          <w:marRight w:val="0"/>
                                          <w:marTop w:val="0"/>
                                          <w:marBottom w:val="0"/>
                                          <w:divBdr>
                                            <w:top w:val="none" w:sz="0" w:space="0" w:color="auto"/>
                                            <w:left w:val="none" w:sz="0" w:space="0" w:color="auto"/>
                                            <w:bottom w:val="none" w:sz="0" w:space="0" w:color="auto"/>
                                            <w:right w:val="none" w:sz="0" w:space="0" w:color="auto"/>
                                          </w:divBdr>
                                          <w:divsChild>
                                            <w:div w:id="563299199">
                                              <w:marLeft w:val="0"/>
                                              <w:marRight w:val="0"/>
                                              <w:marTop w:val="0"/>
                                              <w:marBottom w:val="0"/>
                                              <w:divBdr>
                                                <w:top w:val="none" w:sz="0" w:space="0" w:color="auto"/>
                                                <w:left w:val="none" w:sz="0" w:space="0" w:color="auto"/>
                                                <w:bottom w:val="none" w:sz="0" w:space="0" w:color="auto"/>
                                                <w:right w:val="none" w:sz="0" w:space="0" w:color="auto"/>
                                              </w:divBdr>
                                              <w:divsChild>
                                                <w:div w:id="894240946">
                                                  <w:marLeft w:val="0"/>
                                                  <w:marRight w:val="0"/>
                                                  <w:marTop w:val="0"/>
                                                  <w:marBottom w:val="0"/>
                                                  <w:divBdr>
                                                    <w:top w:val="none" w:sz="0" w:space="0" w:color="auto"/>
                                                    <w:left w:val="none" w:sz="0" w:space="0" w:color="auto"/>
                                                    <w:bottom w:val="none" w:sz="0" w:space="0" w:color="auto"/>
                                                    <w:right w:val="none" w:sz="0" w:space="0" w:color="auto"/>
                                                  </w:divBdr>
                                                  <w:divsChild>
                                                    <w:div w:id="89937437">
                                                      <w:marLeft w:val="0"/>
                                                      <w:marRight w:val="0"/>
                                                      <w:marTop w:val="0"/>
                                                      <w:marBottom w:val="0"/>
                                                      <w:divBdr>
                                                        <w:top w:val="none" w:sz="0" w:space="0" w:color="auto"/>
                                                        <w:left w:val="none" w:sz="0" w:space="0" w:color="auto"/>
                                                        <w:bottom w:val="none" w:sz="0" w:space="0" w:color="auto"/>
                                                        <w:right w:val="none" w:sz="0" w:space="0" w:color="auto"/>
                                                      </w:divBdr>
                                                      <w:divsChild>
                                                        <w:div w:id="5190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752464067">
      <w:bodyDiv w:val="1"/>
      <w:marLeft w:val="0"/>
      <w:marRight w:val="0"/>
      <w:marTop w:val="0"/>
      <w:marBottom w:val="0"/>
      <w:divBdr>
        <w:top w:val="none" w:sz="0" w:space="0" w:color="auto"/>
        <w:left w:val="none" w:sz="0" w:space="0" w:color="auto"/>
        <w:bottom w:val="none" w:sz="0" w:space="0" w:color="auto"/>
        <w:right w:val="none" w:sz="0" w:space="0" w:color="auto"/>
      </w:divBdr>
    </w:div>
    <w:div w:id="1795253745">
      <w:bodyDiv w:val="1"/>
      <w:marLeft w:val="0"/>
      <w:marRight w:val="0"/>
      <w:marTop w:val="0"/>
      <w:marBottom w:val="0"/>
      <w:divBdr>
        <w:top w:val="none" w:sz="0" w:space="0" w:color="auto"/>
        <w:left w:val="none" w:sz="0" w:space="0" w:color="auto"/>
        <w:bottom w:val="none" w:sz="0" w:space="0" w:color="auto"/>
        <w:right w:val="none" w:sz="0" w:space="0" w:color="auto"/>
      </w:divBdr>
    </w:div>
    <w:div w:id="1822231178">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065FD96493334CBEE13681276E0E57" ma:contentTypeVersion="943" ma:contentTypeDescription="Create a new document." ma:contentTypeScope="" ma:versionID="589059f2ce03ae946f094f0b60a03fb5">
  <xsd:schema xmlns:xsd="http://www.w3.org/2001/XMLSchema" xmlns:xs="http://www.w3.org/2001/XMLSchema" xmlns:p="http://schemas.microsoft.com/office/2006/metadata/properties" xmlns:ns2="57f1fb52-79b9-4278-9d54-1e5db41bfcda" xmlns:ns3="6500fe01-343b-4fb9-a1b0-68ac19d62e01" xmlns:ns4="ccf9782b-c747-4be8-886f-341168625564" xmlns:ns5="58fee54c-9a5d-4dd1-a284-9986b4cd1f17" targetNamespace="http://schemas.microsoft.com/office/2006/metadata/properties" ma:root="true" ma:fieldsID="5c90f45a5d7f1b989aa3e1f32202919a" ns2:_="" ns3:_="" ns4:_="" ns5:_="">
    <xsd:import namespace="57f1fb52-79b9-4278-9d54-1e5db41bfcda"/>
    <xsd:import namespace="6500fe01-343b-4fb9-a1b0-68ac19d62e01"/>
    <xsd:import namespace="ccf9782b-c747-4be8-886f-341168625564"/>
    <xsd:import namespace="58fee54c-9a5d-4dd1-a284-9986b4cd1f17"/>
    <xsd:element name="properties">
      <xsd:complexType>
        <xsd:sequence>
          <xsd:element name="documentManagement">
            <xsd:complexType>
              <xsd:all>
                <xsd:element ref="ns3:Divider" minOccurs="0"/>
                <xsd:element ref="ns2:Subdivider" minOccurs="0"/>
                <xsd:element ref="ns3:TaxCatchAll" minOccurs="0"/>
                <xsd:element ref="ns3:TaxCatchAllLabel"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2:SharedWithUsers" minOccurs="0"/>
                <xsd:element ref="ns2:SharedWithDetails" minOccurs="0"/>
                <xsd:element ref="ns2:From1" minOccurs="0"/>
                <xsd:element ref="ns2:Received_x002f_Sent" minOccurs="0"/>
                <xsd:element ref="ns3:TaxKeywordTaxHTField" minOccurs="0"/>
                <xsd:element ref="ns2:h1905e97e92e42caaf2a314461ed6a1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dexed="true" ma:internalName="Subdivider">
      <xsd:simpleType>
        <xsd:union memberTypes="dms:Text">
          <xsd:simpleType>
            <xsd:restriction base="dms:Choice">
              <xsd:enumeration value="-"/>
            </xsd:restriction>
          </xsd:simpleType>
        </xsd:un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From1" ma:index="25" nillable="true" ma:displayName="From" ma:hidden="true" ma:internalName="From1" ma:readOnly="false">
      <xsd:simpleType>
        <xsd:restriction base="dms:Text">
          <xsd:maxLength value="255"/>
        </xsd:restriction>
      </xsd:simpleType>
    </xsd:element>
    <xsd:element name="Received_x002f_Sent" ma:index="26" nillable="true" ma:displayName="Received/Sent" ma:hidden="true" ma:indexed="true" ma:internalName="Received_x002F_Sent" ma:readOnly="false">
      <xsd:simpleType>
        <xsd:restriction base="dms:Text">
          <xsd:maxLength value="255"/>
        </xsd:restriction>
      </xsd:simpleType>
    </xsd:element>
    <xsd:element name="h1905e97e92e42caaf2a314461ed6a1e" ma:index="30"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dexed="true"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ee54c-9a5d-4dd1-a284-9986b4cd1f17" elementFormDefault="qualified">
    <xsd:import namespace="http://schemas.microsoft.com/office/2006/documentManagement/types"/>
    <xsd:import namespace="http://schemas.microsoft.com/office/infopath/2007/PartnerControls"/>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ivider xmlns="6500fe01-343b-4fb9-a1b0-68ac19d62e01">Decision</Divider>
    <TaxCatchAll xmlns="6500fe01-343b-4fb9-a1b0-68ac19d62e01"/>
    <TaxKeywordTaxHTField xmlns="6500fe01-343b-4fb9-a1b0-68ac19d62e01">
      <Terms xmlns="http://schemas.microsoft.com/office/infopath/2007/PartnerControls"/>
    </TaxKeywordTaxHTField>
    <_dlc_DocId xmlns="6500fe01-343b-4fb9-a1b0-68ac19d62e01">AHRC-1929034205-1108</_dlc_DocId>
    <_dlc_DocIdUrl xmlns="6500fe01-343b-4fb9-a1b0-68ac19d62e01">
      <Url>https://australianhrc.sharepoint.com/sites/LegalServicesWorkspace/_layouts/15/DocIdRedir.aspx?ID=AHRC-1929034205-1108</Url>
      <Description>AHRC-1929034205-1108</Description>
    </_dlc_DocIdUrl>
    <Received_x002f_Sent xmlns="57f1fb52-79b9-4278-9d54-1e5db41bfcda" xsi:nil="true"/>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documentManagement>
</p:properties>
</file>

<file path=customXml/itemProps1.xml><?xml version="1.0" encoding="utf-8"?>
<ds:datastoreItem xmlns:ds="http://schemas.openxmlformats.org/officeDocument/2006/customXml" ds:itemID="{7F879467-A1FC-4CC6-ACBE-4FF1550DF13F}">
  <ds:schemaRefs>
    <ds:schemaRef ds:uri="http://schemas.openxmlformats.org/officeDocument/2006/bibliography"/>
  </ds:schemaRefs>
</ds:datastoreItem>
</file>

<file path=customXml/itemProps2.xml><?xml version="1.0" encoding="utf-8"?>
<ds:datastoreItem xmlns:ds="http://schemas.openxmlformats.org/officeDocument/2006/customXml" ds:itemID="{9561DA7E-F493-4CC6-B93F-16F97258F805}"/>
</file>

<file path=customXml/itemProps3.xml><?xml version="1.0" encoding="utf-8"?>
<ds:datastoreItem xmlns:ds="http://schemas.openxmlformats.org/officeDocument/2006/customXml" ds:itemID="{83C04259-4E01-4CCD-A58B-15F8B555FFC4}"/>
</file>

<file path=customXml/itemProps4.xml><?xml version="1.0" encoding="utf-8"?>
<ds:datastoreItem xmlns:ds="http://schemas.openxmlformats.org/officeDocument/2006/customXml" ds:itemID="{4C184752-5540-448C-B2BB-59E58AC6EA19}"/>
</file>

<file path=customXml/itemProps5.xml><?xml version="1.0" encoding="utf-8"?>
<ds:datastoreItem xmlns:ds="http://schemas.openxmlformats.org/officeDocument/2006/customXml" ds:itemID="{82F41DA7-5F87-4EC6-A322-FC3629CC2979}"/>
</file>

<file path=customXml/itemProps6.xml><?xml version="1.0" encoding="utf-8"?>
<ds:datastoreItem xmlns:ds="http://schemas.openxmlformats.org/officeDocument/2006/customXml" ds:itemID="{C65C307F-C656-4C6C-8D25-149C744D5A99}"/>
</file>

<file path=customXml/itemProps7.xml><?xml version="1.0" encoding="utf-8"?>
<ds:datastoreItem xmlns:ds="http://schemas.openxmlformats.org/officeDocument/2006/customXml" ds:itemID="{7E3BD51C-3C0C-48EA-B825-2C2E6EE2994E}"/>
</file>

<file path=docProps/app.xml><?xml version="1.0" encoding="utf-8"?>
<Properties xmlns="http://schemas.openxmlformats.org/officeDocument/2006/extended-properties" xmlns:vt="http://schemas.openxmlformats.org/officeDocument/2006/docPropsVTypes">
  <Template>Normal.dotm</Template>
  <TotalTime>53</TotalTime>
  <Pages>5</Pages>
  <Words>1375</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11 07 Extension decision re Birchgrove wharf</dc:title>
  <dc:subject/>
  <dc:creator>John Howell</dc:creator>
  <cp:keywords/>
  <dc:description/>
  <cp:lastModifiedBy>Graeme Edgerton</cp:lastModifiedBy>
  <cp:revision>4</cp:revision>
  <cp:lastPrinted>2018-05-03T05:04:00Z</cp:lastPrinted>
  <dcterms:created xsi:type="dcterms:W3CDTF">2018-11-06T06:19:00Z</dcterms:created>
  <dcterms:modified xsi:type="dcterms:W3CDTF">2018-11-06T07:12:00Z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0x01010073065FD96493334CBEE13681276E0E57</vt:lpwstr>
  </property>
  <property fmtid="{D5CDD505-2E9C-101B-9397-08002B2CF9AE}" pid="3" name="Order">
    <vt:r8>100</vt:r8>
  </property>
  <property fmtid="{D5CDD505-2E9C-101B-9397-08002B2CF9AE}" pid="4" name="TaxKeyword">
    <vt:lpwstr/>
  </property>
  <property fmtid="{D5CDD505-2E9C-101B-9397-08002B2CF9AE}" pid="5" name="DocumentSetDescription">
    <vt:lpwstr/>
  </property>
  <property fmtid="{D5CDD505-2E9C-101B-9397-08002B2CF9AE}" pid="6" name="Act">
    <vt:lpwstr/>
  </property>
  <property fmtid="{D5CDD505-2E9C-101B-9397-08002B2CF9AE}" pid="7" name="Document Type">
    <vt:lpwstr/>
  </property>
  <property fmtid="{D5CDD505-2E9C-101B-9397-08002B2CF9AE}" pid="8" name="_dlc_DocIdItemGuid">
    <vt:lpwstr>073f1b43-7827-4cfa-9a69-7540e491b119</vt:lpwstr>
  </property>
  <property fmtid="{D5CDD505-2E9C-101B-9397-08002B2CF9AE}" pid="9" name="DocSet Type">
    <vt:lpwstr>Exemption</vt:lpwstr>
  </property>
  <property fmtid="{D5CDD505-2E9C-101B-9397-08002B2CF9AE}" pid="11" name="Business Unit">
    <vt:lpwstr>Legal</vt:lpwstr>
  </property>
  <property fmtid="{D5CDD505-2E9C-101B-9397-08002B2CF9AE}" pid="17" name="Supervisor">
    <vt:lpwstr/>
  </property>
  <property fmtid="{D5CDD505-2E9C-101B-9397-08002B2CF9AE}" pid="24" name="Matter Type">
    <vt:lpwstr>Exemptions</vt:lpwstr>
  </property>
  <property fmtid="{D5CDD505-2E9C-101B-9397-08002B2CF9AE}" pid="25" name="Officer">
    <vt:lpwstr/>
  </property>
  <property fmtid="{D5CDD505-2E9C-101B-9397-08002B2CF9AE}" pid="28" name="Category">
    <vt:lpwstr>Disability Discrimination Act</vt:lpwstr>
  </property>
</Properties>
</file>