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A1030" w14:textId="21DA269F" w:rsidR="00501C43" w:rsidRPr="007B163A" w:rsidRDefault="001736A2" w:rsidP="00EE180B">
      <w:pPr>
        <w:pStyle w:val="Heading1"/>
        <w:numPr>
          <w:ilvl w:val="0"/>
          <w:numId w:val="0"/>
        </w:numPr>
      </w:pPr>
      <w:r>
        <w:t>Guidelines</w:t>
      </w:r>
      <w:r w:rsidR="00501C43" w:rsidRPr="007B163A">
        <w:t xml:space="preserve"> on </w:t>
      </w:r>
      <w:r>
        <w:t xml:space="preserve">the </w:t>
      </w:r>
      <w:r w:rsidR="00501C43" w:rsidRPr="007B163A">
        <w:t>distinct role of the President and the Commissioners</w:t>
      </w:r>
      <w:r w:rsidR="0085111B">
        <w:t xml:space="preserve"> of the Australian Human Rights Commission</w:t>
      </w:r>
      <w:r w:rsidR="00501C43" w:rsidRPr="007B163A">
        <w:t xml:space="preserve"> in relation to </w:t>
      </w:r>
      <w:r w:rsidR="001566E1">
        <w:t xml:space="preserve">complaint handling and </w:t>
      </w:r>
      <w:r>
        <w:t>public comment</w:t>
      </w:r>
    </w:p>
    <w:p w14:paraId="7A5C0B14" w14:textId="77777777" w:rsidR="00501C43" w:rsidRPr="007B163A" w:rsidRDefault="00501C43" w:rsidP="00501C43">
      <w:pPr>
        <w:pStyle w:val="Heading1"/>
      </w:pPr>
      <w:r w:rsidRPr="007B163A">
        <w:t>Purp</w:t>
      </w:r>
      <w:r w:rsidR="00987BE1">
        <w:t xml:space="preserve">ose </w:t>
      </w:r>
    </w:p>
    <w:p w14:paraId="3821F208" w14:textId="41F2787F" w:rsidR="00501C43" w:rsidRPr="006249E7" w:rsidRDefault="00501C43" w:rsidP="00501C43">
      <w:pPr>
        <w:rPr>
          <w:rFonts w:cs="Arial"/>
          <w:bCs/>
          <w:highlight w:val="red"/>
        </w:rPr>
      </w:pPr>
      <w:r w:rsidRPr="006249E7">
        <w:rPr>
          <w:rFonts w:cs="Arial"/>
          <w:bCs/>
        </w:rPr>
        <w:t xml:space="preserve">The purpose of </w:t>
      </w:r>
      <w:r w:rsidR="001736A2">
        <w:rPr>
          <w:rFonts w:cs="Arial"/>
          <w:bCs/>
        </w:rPr>
        <w:t>these guidelines</w:t>
      </w:r>
      <w:r w:rsidRPr="006249E7">
        <w:rPr>
          <w:rFonts w:cs="Arial"/>
          <w:bCs/>
        </w:rPr>
        <w:t xml:space="preserve"> is to provide clarification on the distinct role of the President and the Commissioners</w:t>
      </w:r>
      <w:r w:rsidR="0085111B">
        <w:rPr>
          <w:rFonts w:cs="Arial"/>
          <w:bCs/>
        </w:rPr>
        <w:t xml:space="preserve"> of the Australian Human Rights Commission</w:t>
      </w:r>
      <w:r w:rsidRPr="006249E7">
        <w:rPr>
          <w:rFonts w:cs="Arial"/>
          <w:bCs/>
        </w:rPr>
        <w:t xml:space="preserve"> in</w:t>
      </w:r>
      <w:r w:rsidR="001566E1">
        <w:rPr>
          <w:rFonts w:cs="Arial"/>
          <w:bCs/>
        </w:rPr>
        <w:t xml:space="preserve"> relation to complaint handling and </w:t>
      </w:r>
      <w:r w:rsidR="001736A2">
        <w:rPr>
          <w:rFonts w:cs="Arial"/>
          <w:bCs/>
        </w:rPr>
        <w:t>public comment</w:t>
      </w:r>
      <w:r w:rsidR="001566E1">
        <w:rPr>
          <w:rFonts w:cs="Arial"/>
          <w:bCs/>
        </w:rPr>
        <w:t>.</w:t>
      </w:r>
    </w:p>
    <w:p w14:paraId="094EE8D0" w14:textId="77777777" w:rsidR="00F56C36" w:rsidRPr="001864D5" w:rsidRDefault="00F56C36" w:rsidP="00F56C36">
      <w:pPr>
        <w:pStyle w:val="Heading1"/>
        <w:tabs>
          <w:tab w:val="left" w:pos="680"/>
        </w:tabs>
        <w:spacing w:before="480"/>
        <w:ind w:left="431" w:hanging="431"/>
        <w:rPr>
          <w:rFonts w:cs="Arial"/>
        </w:rPr>
      </w:pPr>
      <w:bookmarkStart w:id="0" w:name="_Toc209523392"/>
      <w:bookmarkStart w:id="1" w:name="_Toc474768491"/>
      <w:r w:rsidRPr="001864D5">
        <w:rPr>
          <w:rFonts w:cs="Arial"/>
        </w:rPr>
        <w:t>What is the Commission’s legal structure?</w:t>
      </w:r>
      <w:bookmarkEnd w:id="0"/>
      <w:bookmarkEnd w:id="1"/>
    </w:p>
    <w:p w14:paraId="3346271D" w14:textId="77777777" w:rsidR="00F56C36" w:rsidRPr="001864D5" w:rsidRDefault="00F56C36" w:rsidP="00F56C36">
      <w:pPr>
        <w:rPr>
          <w:rFonts w:cs="Arial"/>
        </w:rPr>
      </w:pPr>
      <w:r w:rsidRPr="001864D5">
        <w:rPr>
          <w:rFonts w:cs="Arial"/>
        </w:rPr>
        <w:t xml:space="preserve">The </w:t>
      </w:r>
      <w:r w:rsidRPr="001864D5">
        <w:rPr>
          <w:rFonts w:cs="Arial"/>
          <w:i/>
        </w:rPr>
        <w:t xml:space="preserve">Australian Human Rights Commission Act 1986 </w:t>
      </w:r>
      <w:r w:rsidRPr="001864D5">
        <w:rPr>
          <w:rFonts w:cs="Arial"/>
        </w:rPr>
        <w:t>(AHRC Act) establishes the Commission as a body corporate which is constituted by:</w:t>
      </w:r>
      <w:r w:rsidR="00C104E0" w:rsidRPr="001864D5">
        <w:rPr>
          <w:rStyle w:val="FootnoteReference"/>
        </w:rPr>
        <w:footnoteReference w:id="1"/>
      </w:r>
      <w:r w:rsidRPr="001864D5">
        <w:rPr>
          <w:rFonts w:cs="Arial"/>
        </w:rPr>
        <w:t xml:space="preserve"> </w:t>
      </w:r>
    </w:p>
    <w:p w14:paraId="25575C2D" w14:textId="77777777" w:rsidR="00F56C36" w:rsidRPr="001864D5" w:rsidRDefault="00F56C36" w:rsidP="00F56C36">
      <w:pPr>
        <w:pStyle w:val="ListBullet"/>
        <w:spacing w:before="120" w:after="120"/>
        <w:ind w:left="754" w:hanging="357"/>
        <w:contextualSpacing/>
      </w:pPr>
      <w:r w:rsidRPr="001864D5">
        <w:t>the President (</w:t>
      </w:r>
      <w:r>
        <w:t>who is the senior member and the accountable authority</w:t>
      </w:r>
      <w:r w:rsidRPr="001864D5">
        <w:t>)</w:t>
      </w:r>
      <w:r w:rsidRPr="001864D5">
        <w:rPr>
          <w:rStyle w:val="FootnoteReference"/>
          <w:rFonts w:cs="Arial"/>
        </w:rPr>
        <w:footnoteReference w:id="2"/>
      </w:r>
    </w:p>
    <w:p w14:paraId="2377FF9E" w14:textId="77777777" w:rsidR="00F56C36" w:rsidRPr="001864D5" w:rsidRDefault="00F56C36" w:rsidP="00F56C36">
      <w:pPr>
        <w:pStyle w:val="ListBullet"/>
        <w:spacing w:before="120" w:after="120"/>
        <w:ind w:left="754" w:hanging="357"/>
        <w:contextualSpacing/>
      </w:pPr>
      <w:r w:rsidRPr="001864D5">
        <w:t xml:space="preserve">the Human Rights Commissioner </w:t>
      </w:r>
    </w:p>
    <w:p w14:paraId="4D961EFF" w14:textId="77777777" w:rsidR="00F56C36" w:rsidRPr="001864D5" w:rsidRDefault="00F56C36" w:rsidP="00F56C36">
      <w:pPr>
        <w:pStyle w:val="ListBullet"/>
        <w:spacing w:before="120" w:after="120"/>
        <w:ind w:left="754" w:hanging="357"/>
        <w:contextualSpacing/>
      </w:pPr>
      <w:r w:rsidRPr="001864D5">
        <w:t>the Race Discrimination Commissioner</w:t>
      </w:r>
    </w:p>
    <w:p w14:paraId="13300B3C" w14:textId="77777777" w:rsidR="00F56C36" w:rsidRPr="001864D5" w:rsidRDefault="00F56C36" w:rsidP="00F56C36">
      <w:pPr>
        <w:pStyle w:val="ListBullet"/>
        <w:spacing w:before="120" w:after="120"/>
        <w:ind w:left="754" w:hanging="357"/>
        <w:contextualSpacing/>
      </w:pPr>
      <w:r w:rsidRPr="001864D5">
        <w:t>the Aboriginal and Torres Strait Islander Social Justice Commissioner</w:t>
      </w:r>
    </w:p>
    <w:p w14:paraId="352BB42B" w14:textId="77777777" w:rsidR="00F56C36" w:rsidRPr="001864D5" w:rsidRDefault="00F56C36" w:rsidP="00F56C36">
      <w:pPr>
        <w:pStyle w:val="ListBullet"/>
        <w:spacing w:before="120" w:after="120"/>
        <w:ind w:left="754" w:hanging="357"/>
        <w:contextualSpacing/>
      </w:pPr>
      <w:r w:rsidRPr="001864D5">
        <w:t xml:space="preserve">the Sex Discrimination Commissioner </w:t>
      </w:r>
    </w:p>
    <w:p w14:paraId="68ABB860" w14:textId="77777777" w:rsidR="00F56C36" w:rsidRPr="001864D5" w:rsidRDefault="00F56C36" w:rsidP="00F56C36">
      <w:pPr>
        <w:pStyle w:val="ListBullet"/>
        <w:spacing w:before="120" w:after="120"/>
        <w:ind w:left="754" w:hanging="357"/>
        <w:contextualSpacing/>
      </w:pPr>
      <w:r w:rsidRPr="001864D5">
        <w:t>the Disability Discrimination Commissioner</w:t>
      </w:r>
    </w:p>
    <w:p w14:paraId="1ECD2427" w14:textId="77777777" w:rsidR="00F56C36" w:rsidRPr="001864D5" w:rsidRDefault="00F56C36" w:rsidP="00F56C36">
      <w:pPr>
        <w:pStyle w:val="ListBullet"/>
        <w:spacing w:before="120" w:after="120"/>
        <w:ind w:left="754" w:hanging="357"/>
        <w:contextualSpacing/>
      </w:pPr>
      <w:r w:rsidRPr="001864D5">
        <w:t>the Age Discrimination Commissioner</w:t>
      </w:r>
    </w:p>
    <w:p w14:paraId="3EF0A783" w14:textId="19E381D1" w:rsidR="00F56C36" w:rsidRDefault="00F56C36" w:rsidP="00F56C36">
      <w:pPr>
        <w:pStyle w:val="ListBullet"/>
        <w:spacing w:before="120" w:after="120"/>
        <w:ind w:left="754" w:hanging="357"/>
        <w:contextualSpacing/>
      </w:pPr>
      <w:r w:rsidRPr="001864D5">
        <w:t>the National Children’s Commissioner</w:t>
      </w:r>
      <w:r w:rsidR="00FA3F1B">
        <w:t>.</w:t>
      </w:r>
      <w:r>
        <w:rPr>
          <w:rStyle w:val="FootnoteReference"/>
        </w:rPr>
        <w:footnoteReference w:id="3"/>
      </w:r>
    </w:p>
    <w:p w14:paraId="31572109" w14:textId="77777777" w:rsidR="000D735F" w:rsidRDefault="000D735F" w:rsidP="000D735F">
      <w:pPr>
        <w:pStyle w:val="Heading1"/>
      </w:pPr>
      <w:bookmarkStart w:id="2" w:name="_Toc208826958"/>
      <w:bookmarkEnd w:id="2"/>
      <w:r>
        <w:t>Functions of the Australian Human Rights Commission</w:t>
      </w:r>
    </w:p>
    <w:p w14:paraId="769B24F1" w14:textId="77777777" w:rsidR="00F56C36" w:rsidRDefault="00F56C36" w:rsidP="00F56C36">
      <w:r>
        <w:t>The Australian Human Rights Commission is given certain functions under each of the following Acts:</w:t>
      </w:r>
    </w:p>
    <w:p w14:paraId="38E5271D" w14:textId="77777777" w:rsidR="00F56C36" w:rsidRPr="003261C7" w:rsidRDefault="00F56C36" w:rsidP="003261C7">
      <w:pPr>
        <w:pStyle w:val="ListParagraph"/>
        <w:numPr>
          <w:ilvl w:val="0"/>
          <w:numId w:val="41"/>
        </w:numPr>
        <w:spacing w:before="120" w:after="120"/>
        <w:rPr>
          <w:rFonts w:cs="Arial"/>
          <w:i/>
        </w:rPr>
      </w:pPr>
      <w:r w:rsidRPr="003261C7">
        <w:rPr>
          <w:rFonts w:cs="Arial"/>
          <w:i/>
        </w:rPr>
        <w:t xml:space="preserve">Australian Human Rights Commission Act 1986, </w:t>
      </w:r>
      <w:r w:rsidR="006F4D3F">
        <w:rPr>
          <w:rFonts w:cs="Arial"/>
        </w:rPr>
        <w:t xml:space="preserve">ss 11, </w:t>
      </w:r>
      <w:r w:rsidRPr="003261C7">
        <w:rPr>
          <w:rFonts w:cs="Arial"/>
        </w:rPr>
        <w:t>46C and 46MB</w:t>
      </w:r>
    </w:p>
    <w:p w14:paraId="4A1A5D39" w14:textId="77777777" w:rsidR="00F56C36" w:rsidRPr="003261C7" w:rsidRDefault="00F56C36" w:rsidP="003261C7">
      <w:pPr>
        <w:pStyle w:val="ListParagraph"/>
        <w:numPr>
          <w:ilvl w:val="0"/>
          <w:numId w:val="41"/>
        </w:numPr>
        <w:spacing w:before="120" w:after="120"/>
        <w:rPr>
          <w:rFonts w:cs="Arial"/>
        </w:rPr>
      </w:pPr>
      <w:r w:rsidRPr="003261C7">
        <w:rPr>
          <w:rFonts w:cs="Arial"/>
          <w:i/>
        </w:rPr>
        <w:t xml:space="preserve">Racial Discrimination Act 1975, </w:t>
      </w:r>
      <w:r w:rsidR="00922A0B">
        <w:rPr>
          <w:rFonts w:cs="Arial"/>
        </w:rPr>
        <w:t>s 20</w:t>
      </w:r>
      <w:r w:rsidRPr="003261C7">
        <w:rPr>
          <w:rFonts w:cs="Arial"/>
        </w:rPr>
        <w:t xml:space="preserve"> </w:t>
      </w:r>
    </w:p>
    <w:p w14:paraId="70773DCE" w14:textId="77777777" w:rsidR="00F56C36" w:rsidRPr="003261C7" w:rsidRDefault="00F56C36" w:rsidP="003261C7">
      <w:pPr>
        <w:pStyle w:val="ListParagraph"/>
        <w:numPr>
          <w:ilvl w:val="0"/>
          <w:numId w:val="41"/>
        </w:numPr>
        <w:spacing w:before="120" w:after="120"/>
        <w:rPr>
          <w:rFonts w:cs="Arial"/>
        </w:rPr>
      </w:pPr>
      <w:r w:rsidRPr="003261C7">
        <w:rPr>
          <w:rFonts w:cs="Arial"/>
          <w:i/>
        </w:rPr>
        <w:t xml:space="preserve">Sex Discrimination Act 1984, </w:t>
      </w:r>
      <w:r w:rsidR="00922A0B">
        <w:rPr>
          <w:rFonts w:cs="Arial"/>
        </w:rPr>
        <w:t>s 48</w:t>
      </w:r>
    </w:p>
    <w:p w14:paraId="298AE978" w14:textId="77777777" w:rsidR="00F56C36" w:rsidRPr="003261C7" w:rsidRDefault="00F56C36" w:rsidP="003261C7">
      <w:pPr>
        <w:pStyle w:val="ListParagraph"/>
        <w:numPr>
          <w:ilvl w:val="0"/>
          <w:numId w:val="41"/>
        </w:numPr>
        <w:spacing w:before="120" w:after="120"/>
        <w:rPr>
          <w:rFonts w:cs="Arial"/>
        </w:rPr>
      </w:pPr>
      <w:r w:rsidRPr="003261C7">
        <w:rPr>
          <w:rFonts w:cs="Arial"/>
          <w:i/>
        </w:rPr>
        <w:t xml:space="preserve">Disability Discrimination Act 1992, </w:t>
      </w:r>
      <w:r w:rsidR="00922A0B">
        <w:rPr>
          <w:rFonts w:cs="Arial"/>
        </w:rPr>
        <w:t>s 67</w:t>
      </w:r>
    </w:p>
    <w:p w14:paraId="512B6E25" w14:textId="44D3244E" w:rsidR="00F56C36" w:rsidRPr="003261C7" w:rsidRDefault="00F56C36" w:rsidP="003261C7">
      <w:pPr>
        <w:pStyle w:val="ListParagraph"/>
        <w:numPr>
          <w:ilvl w:val="0"/>
          <w:numId w:val="41"/>
        </w:numPr>
        <w:spacing w:before="120" w:after="120"/>
        <w:rPr>
          <w:rFonts w:cs="Arial"/>
        </w:rPr>
      </w:pPr>
      <w:r w:rsidRPr="003261C7">
        <w:rPr>
          <w:rFonts w:cs="Arial"/>
          <w:i/>
        </w:rPr>
        <w:t xml:space="preserve">Age Discrimination Act 2004, </w:t>
      </w:r>
      <w:r w:rsidR="00922A0B">
        <w:rPr>
          <w:rFonts w:cs="Arial"/>
        </w:rPr>
        <w:t>s 53</w:t>
      </w:r>
      <w:r w:rsidR="00FA3F1B">
        <w:rPr>
          <w:rFonts w:cs="Arial"/>
        </w:rPr>
        <w:t>.</w:t>
      </w:r>
    </w:p>
    <w:p w14:paraId="0A2D5B36" w14:textId="77777777" w:rsidR="00F56C36" w:rsidRPr="00F56C36" w:rsidRDefault="00F56C36" w:rsidP="00F51A5B">
      <w:pPr>
        <w:keepNext/>
        <w:rPr>
          <w:rFonts w:cs="Arial"/>
          <w:lang w:eastAsia="en-US"/>
        </w:rPr>
      </w:pPr>
      <w:r w:rsidRPr="00F56C36">
        <w:rPr>
          <w:rFonts w:cs="Arial"/>
          <w:lang w:eastAsia="en-US"/>
        </w:rPr>
        <w:t xml:space="preserve">Broadly speaking, those functions </w:t>
      </w:r>
      <w:r>
        <w:rPr>
          <w:rFonts w:cs="Arial"/>
          <w:lang w:eastAsia="en-US"/>
        </w:rPr>
        <w:t>are</w:t>
      </w:r>
      <w:r w:rsidR="000F5B09">
        <w:rPr>
          <w:rFonts w:cs="Arial"/>
          <w:lang w:eastAsia="en-US"/>
        </w:rPr>
        <w:t xml:space="preserve"> to</w:t>
      </w:r>
      <w:r w:rsidRPr="00F56C36">
        <w:rPr>
          <w:rFonts w:cs="Arial"/>
          <w:lang w:eastAsia="en-US"/>
        </w:rPr>
        <w:t>:</w:t>
      </w:r>
    </w:p>
    <w:p w14:paraId="10C02A70" w14:textId="1987411E" w:rsidR="009D592B" w:rsidRDefault="0036759D" w:rsidP="00F56C36">
      <w:pPr>
        <w:pStyle w:val="ListParagraph"/>
        <w:numPr>
          <w:ilvl w:val="0"/>
          <w:numId w:val="39"/>
        </w:numPr>
      </w:pPr>
      <w:r>
        <w:t xml:space="preserve">undertake a complaint handling role in relation to </w:t>
      </w:r>
      <w:r w:rsidR="009D592B">
        <w:t xml:space="preserve">complaints of </w:t>
      </w:r>
      <w:r w:rsidR="006F4D3F">
        <w:t>unlawful discrimination</w:t>
      </w:r>
      <w:r w:rsidR="009D592B">
        <w:t xml:space="preserve"> under the federal discrimination laws;</w:t>
      </w:r>
    </w:p>
    <w:p w14:paraId="0910CAF6" w14:textId="7C3F9FAD" w:rsidR="006F4D3F" w:rsidRDefault="009D592B" w:rsidP="00F56C36">
      <w:pPr>
        <w:pStyle w:val="ListParagraph"/>
        <w:numPr>
          <w:ilvl w:val="0"/>
          <w:numId w:val="39"/>
        </w:numPr>
      </w:pPr>
      <w:r>
        <w:lastRenderedPageBreak/>
        <w:t>inquire into acts or practices that may be inconsistent with</w:t>
      </w:r>
      <w:r w:rsidR="0036759D">
        <w:t xml:space="preserve"> human rights </w:t>
      </w:r>
      <w:r>
        <w:t xml:space="preserve">or with </w:t>
      </w:r>
      <w:r w:rsidR="0036759D">
        <w:t>equal opportunity in employment</w:t>
      </w:r>
      <w:r w:rsidR="00633816">
        <w:t>;</w:t>
      </w:r>
    </w:p>
    <w:p w14:paraId="6446F683" w14:textId="77777777" w:rsidR="00F56C36" w:rsidRDefault="00F56C36" w:rsidP="00F56C36">
      <w:pPr>
        <w:pStyle w:val="ListParagraph"/>
        <w:numPr>
          <w:ilvl w:val="0"/>
          <w:numId w:val="39"/>
        </w:numPr>
      </w:pPr>
      <w:r>
        <w:t>p</w:t>
      </w:r>
      <w:r w:rsidR="000F5B09">
        <w:t>r</w:t>
      </w:r>
      <w:r>
        <w:t>omote an un</w:t>
      </w:r>
      <w:r w:rsidR="00594072">
        <w:t>derstanding and acceptance of</w:t>
      </w:r>
      <w:r>
        <w:t xml:space="preserve"> </w:t>
      </w:r>
      <w:r w:rsidR="00633816">
        <w:t xml:space="preserve">human rights in Australia and </w:t>
      </w:r>
      <w:r>
        <w:t xml:space="preserve">the above </w:t>
      </w:r>
      <w:r w:rsidR="00594072">
        <w:t>federal discrimination laws</w:t>
      </w:r>
      <w:r>
        <w:t xml:space="preserve">; </w:t>
      </w:r>
    </w:p>
    <w:p w14:paraId="116BF3CF" w14:textId="77777777" w:rsidR="00F56C36" w:rsidRDefault="00F56C36" w:rsidP="00F56C36">
      <w:pPr>
        <w:pStyle w:val="ListParagraph"/>
        <w:numPr>
          <w:ilvl w:val="0"/>
          <w:numId w:val="39"/>
        </w:numPr>
      </w:pPr>
      <w:r>
        <w:t>undertake research and educational programs, and other programs, for the purpose of prom</w:t>
      </w:r>
      <w:r w:rsidR="000D735F">
        <w:t xml:space="preserve">oting </w:t>
      </w:r>
      <w:r w:rsidR="00594072">
        <w:t xml:space="preserve">human rights and </w:t>
      </w:r>
      <w:r w:rsidR="000D735F">
        <w:t xml:space="preserve">the objects of the </w:t>
      </w:r>
      <w:r w:rsidR="00594072">
        <w:t>federal discrimination laws;</w:t>
      </w:r>
    </w:p>
    <w:p w14:paraId="7574F51B" w14:textId="77777777" w:rsidR="00F56C36" w:rsidRDefault="00F56C36" w:rsidP="00F56C36">
      <w:pPr>
        <w:pStyle w:val="ListParagraph"/>
        <w:numPr>
          <w:ilvl w:val="0"/>
          <w:numId w:val="39"/>
        </w:numPr>
      </w:pPr>
      <w:r>
        <w:t xml:space="preserve">prepare and publish guidelines for </w:t>
      </w:r>
      <w:r w:rsidR="00A66E62">
        <w:t>the avoidance of human rights breaches</w:t>
      </w:r>
      <w:r w:rsidR="00AB2F02">
        <w:t xml:space="preserve"> and unlawful discrimination</w:t>
      </w:r>
      <w:r>
        <w:t xml:space="preserve">; </w:t>
      </w:r>
    </w:p>
    <w:p w14:paraId="22EC13C2" w14:textId="77777777" w:rsidR="00F56C36" w:rsidRDefault="00F56C36" w:rsidP="00F56C36">
      <w:pPr>
        <w:pStyle w:val="ListParagraph"/>
        <w:numPr>
          <w:ilvl w:val="0"/>
          <w:numId w:val="39"/>
        </w:numPr>
      </w:pPr>
      <w:r>
        <w:t xml:space="preserve">intervene in proceedings that involve </w:t>
      </w:r>
      <w:r w:rsidR="00AB2F02">
        <w:t>human rights or unlawful</w:t>
      </w:r>
      <w:r>
        <w:t xml:space="preserve"> discrimination </w:t>
      </w:r>
      <w:r w:rsidR="00AB2F02">
        <w:t>issues</w:t>
      </w:r>
      <w:r w:rsidRPr="00F56C36">
        <w:t xml:space="preserve"> </w:t>
      </w:r>
      <w:r>
        <w:t xml:space="preserve">- with the leave of the court; </w:t>
      </w:r>
    </w:p>
    <w:p w14:paraId="55BEB232" w14:textId="5F225466" w:rsidR="00F56C36" w:rsidRDefault="000D735F" w:rsidP="00F56C36">
      <w:pPr>
        <w:pStyle w:val="ListParagraph"/>
        <w:numPr>
          <w:ilvl w:val="0"/>
          <w:numId w:val="39"/>
        </w:numPr>
      </w:pPr>
      <w:r>
        <w:t xml:space="preserve">examine </w:t>
      </w:r>
      <w:r w:rsidR="005619F7">
        <w:t xml:space="preserve">legislation (and if the Minister requests, proposed legislation) </w:t>
      </w:r>
      <w:r>
        <w:t xml:space="preserve">and </w:t>
      </w:r>
      <w:r w:rsidR="00F56C36">
        <w:t xml:space="preserve">report to the Minister the results of any such examination; </w:t>
      </w:r>
    </w:p>
    <w:p w14:paraId="0FC71543" w14:textId="77777777" w:rsidR="00F56C36" w:rsidRDefault="00F56C36" w:rsidP="00F56C36">
      <w:pPr>
        <w:pStyle w:val="ListParagraph"/>
        <w:numPr>
          <w:ilvl w:val="0"/>
          <w:numId w:val="39"/>
        </w:numPr>
      </w:pPr>
      <w:r>
        <w:t xml:space="preserve">report to the Minister as to the laws that should be made by the Parliament, or action that should be taken by the Commonwealth, on matters relating to </w:t>
      </w:r>
      <w:r w:rsidR="00AB2F02">
        <w:t>human rights or unlawful discrimination.</w:t>
      </w:r>
    </w:p>
    <w:p w14:paraId="638770CC" w14:textId="77777777" w:rsidR="00F56C36" w:rsidRDefault="00F56C36" w:rsidP="00F56C36">
      <w:pPr>
        <w:rPr>
          <w:rFonts w:cs="Arial"/>
        </w:rPr>
      </w:pPr>
      <w:r>
        <w:rPr>
          <w:rFonts w:cs="Arial"/>
        </w:rPr>
        <w:t xml:space="preserve">For the main part these functions are to be conducted by the Commission as a </w:t>
      </w:r>
      <w:r w:rsidR="005C01F6" w:rsidRPr="00F51A5B">
        <w:rPr>
          <w:rFonts w:cs="Arial"/>
        </w:rPr>
        <w:t>whole</w:t>
      </w:r>
      <w:r>
        <w:rPr>
          <w:rFonts w:cs="Arial"/>
        </w:rPr>
        <w:t>. In some instances however, these functions are required to be carried out by the President or a specified Commissioner</w:t>
      </w:r>
      <w:r w:rsidR="00F22ED5">
        <w:rPr>
          <w:rFonts w:cs="Arial"/>
        </w:rPr>
        <w:t>.</w:t>
      </w:r>
      <w:r w:rsidR="00AC350D">
        <w:rPr>
          <w:rStyle w:val="FootnoteReference"/>
          <w:rFonts w:cs="Arial"/>
        </w:rPr>
        <w:footnoteReference w:id="4"/>
      </w:r>
      <w:r>
        <w:rPr>
          <w:rFonts w:cs="Arial"/>
        </w:rPr>
        <w:t xml:space="preserve"> </w:t>
      </w:r>
    </w:p>
    <w:p w14:paraId="5DFF2A8F" w14:textId="77777777" w:rsidR="00F51A5B" w:rsidRDefault="00F51A5B" w:rsidP="00F51A5B">
      <w:pPr>
        <w:pStyle w:val="Heading2"/>
      </w:pPr>
      <w:r>
        <w:t>Role of individual Commissioners</w:t>
      </w:r>
    </w:p>
    <w:p w14:paraId="211091BC" w14:textId="77777777" w:rsidR="00F51A5B" w:rsidRDefault="00F51A5B" w:rsidP="00F51A5B">
      <w:r>
        <w:t xml:space="preserve">Each of the Commissioners is </w:t>
      </w:r>
      <w:r w:rsidR="00891860">
        <w:t>expected to lead</w:t>
      </w:r>
      <w:r>
        <w:t xml:space="preserve"> the Commission's work in their area of appointment. This work predominantly focuses on the following functions:</w:t>
      </w:r>
    </w:p>
    <w:p w14:paraId="13B38E59" w14:textId="77777777" w:rsidR="00F51A5B" w:rsidRDefault="00F51A5B" w:rsidP="00F51A5B">
      <w:pPr>
        <w:pStyle w:val="ListParagraph"/>
        <w:numPr>
          <w:ilvl w:val="0"/>
          <w:numId w:val="39"/>
        </w:numPr>
      </w:pPr>
      <w:r>
        <w:t xml:space="preserve">promote an understanding and acceptance of, and compliance with, </w:t>
      </w:r>
      <w:r w:rsidR="001F6586">
        <w:t xml:space="preserve">human rights and </w:t>
      </w:r>
      <w:r>
        <w:t xml:space="preserve">the </w:t>
      </w:r>
      <w:r w:rsidR="00F22ED5">
        <w:t>federal discrimination laws;</w:t>
      </w:r>
    </w:p>
    <w:p w14:paraId="6A68B6E2" w14:textId="77777777" w:rsidR="00F51A5B" w:rsidRDefault="00F51A5B" w:rsidP="00F51A5B">
      <w:pPr>
        <w:pStyle w:val="ListParagraph"/>
        <w:numPr>
          <w:ilvl w:val="0"/>
          <w:numId w:val="39"/>
        </w:numPr>
      </w:pPr>
      <w:r>
        <w:t xml:space="preserve">undertake research and educational programs, and other programs, for the purpose of promoting </w:t>
      </w:r>
      <w:r w:rsidR="001F6586">
        <w:t xml:space="preserve">human rights and </w:t>
      </w:r>
      <w:r>
        <w:t xml:space="preserve">the objects of the </w:t>
      </w:r>
      <w:r w:rsidR="00F22ED5">
        <w:t>federal discrimination laws</w:t>
      </w:r>
      <w:r>
        <w:t>.</w:t>
      </w:r>
    </w:p>
    <w:p w14:paraId="4E3CF20A" w14:textId="2DDAA6F8" w:rsidR="00F51A5B" w:rsidRPr="001864D5" w:rsidRDefault="00F51A5B" w:rsidP="00F51A5B">
      <w:pPr>
        <w:rPr>
          <w:rFonts w:cs="Arial"/>
        </w:rPr>
      </w:pPr>
      <w:r>
        <w:t>They do this</w:t>
      </w:r>
      <w:r w:rsidR="00F2669A">
        <w:t xml:space="preserve"> in a number of ways, including</w:t>
      </w:r>
      <w:r>
        <w:t xml:space="preserve"> by</w:t>
      </w:r>
      <w:r w:rsidRPr="001864D5">
        <w:rPr>
          <w:rFonts w:cs="Arial"/>
        </w:rPr>
        <w:t>:</w:t>
      </w:r>
    </w:p>
    <w:p w14:paraId="131E3FBA" w14:textId="77777777" w:rsidR="00F51A5B" w:rsidRPr="001864D5" w:rsidRDefault="00F51A5B" w:rsidP="00F51A5B">
      <w:pPr>
        <w:pStyle w:val="ListBullet"/>
        <w:spacing w:before="120" w:after="120"/>
        <w:ind w:left="754" w:hanging="357"/>
        <w:contextualSpacing/>
      </w:pPr>
      <w:r w:rsidRPr="001864D5">
        <w:t>representing the Commission by giving speeches or presentations</w:t>
      </w:r>
    </w:p>
    <w:p w14:paraId="0A7F9119" w14:textId="77777777" w:rsidR="00F51A5B" w:rsidRPr="001864D5" w:rsidRDefault="00F51A5B" w:rsidP="00F51A5B">
      <w:pPr>
        <w:pStyle w:val="ListBullet"/>
        <w:spacing w:before="120" w:after="120"/>
        <w:ind w:left="754" w:hanging="357"/>
        <w:contextualSpacing/>
      </w:pPr>
      <w:r w:rsidRPr="001864D5">
        <w:t>engaging with the media by writing or contributing to press releases and opinion pieces or giving media interviews</w:t>
      </w:r>
    </w:p>
    <w:p w14:paraId="5AEE2D58" w14:textId="1A49E97F" w:rsidR="00F51A5B" w:rsidRDefault="00F51A5B" w:rsidP="00F51A5B">
      <w:pPr>
        <w:pStyle w:val="ListBullet"/>
        <w:spacing w:before="120" w:after="120"/>
        <w:ind w:left="754" w:hanging="357"/>
        <w:contextualSpacing/>
      </w:pPr>
      <w:r w:rsidRPr="001864D5">
        <w:t>liaising with the Attorney-General</w:t>
      </w:r>
      <w:r w:rsidR="00BA2221">
        <w:t>, Ministers</w:t>
      </w:r>
      <w:r w:rsidRPr="001864D5">
        <w:t xml:space="preserve"> and other </w:t>
      </w:r>
      <w:r w:rsidR="00BA2221">
        <w:t>parliamentarians</w:t>
      </w:r>
    </w:p>
    <w:p w14:paraId="42EEFF8F" w14:textId="3177A3D1" w:rsidR="00F74F44" w:rsidRPr="001864D5" w:rsidRDefault="00F74F44" w:rsidP="00F51A5B">
      <w:pPr>
        <w:pStyle w:val="ListBullet"/>
        <w:spacing w:before="120" w:after="120"/>
        <w:ind w:left="754" w:hanging="357"/>
        <w:contextualSpacing/>
      </w:pPr>
      <w:r>
        <w:t>working with organisations and leaders in the community and business sectors to provide education on human rights issues and to support them in their efforts to better protect and promote human rights</w:t>
      </w:r>
    </w:p>
    <w:p w14:paraId="7E4E6AD2" w14:textId="77777777" w:rsidR="00F51A5B" w:rsidRPr="001864D5" w:rsidRDefault="00F51A5B" w:rsidP="00F51A5B">
      <w:pPr>
        <w:pStyle w:val="ListBullet"/>
        <w:spacing w:before="120" w:after="120"/>
        <w:ind w:left="754" w:hanging="357"/>
        <w:contextualSpacing/>
      </w:pPr>
      <w:r w:rsidRPr="001864D5">
        <w:t>participating in external events on behalf of the Commission</w:t>
      </w:r>
    </w:p>
    <w:p w14:paraId="21650309" w14:textId="185D32F8" w:rsidR="00F51A5B" w:rsidRDefault="00F51A5B" w:rsidP="00F51A5B">
      <w:pPr>
        <w:pStyle w:val="ListBullet"/>
        <w:spacing w:before="120" w:after="120"/>
        <w:ind w:left="754" w:hanging="357"/>
        <w:contextualSpacing/>
      </w:pPr>
      <w:r w:rsidRPr="001864D5">
        <w:t>writing, contributing to or overseeing reports, policy submissions and documents for approval by the Commission Executive</w:t>
      </w:r>
    </w:p>
    <w:p w14:paraId="4A791668" w14:textId="12EEC13F" w:rsidR="00F74F44" w:rsidRPr="001864D5" w:rsidRDefault="00F74F44" w:rsidP="00F51A5B">
      <w:pPr>
        <w:pStyle w:val="ListBullet"/>
        <w:spacing w:before="120" w:after="120"/>
        <w:ind w:left="754" w:hanging="357"/>
        <w:contextualSpacing/>
      </w:pPr>
      <w:r>
        <w:lastRenderedPageBreak/>
        <w:t>engaging with social media platforms to raise and promote public awareness about human rights issues</w:t>
      </w:r>
    </w:p>
    <w:p w14:paraId="3B3236C7" w14:textId="77777777" w:rsidR="00F51A5B" w:rsidRDefault="00F51A5B" w:rsidP="00F51A5B">
      <w:pPr>
        <w:pStyle w:val="ListBullet"/>
        <w:spacing w:before="120" w:after="120"/>
        <w:ind w:left="754" w:hanging="357"/>
        <w:contextualSpacing/>
      </w:pPr>
      <w:r w:rsidRPr="001864D5">
        <w:t>contributing to the Annual Report.</w:t>
      </w:r>
    </w:p>
    <w:p w14:paraId="106C4737" w14:textId="77777777" w:rsidR="00891860" w:rsidRDefault="00891860" w:rsidP="00891860">
      <w:pPr>
        <w:pStyle w:val="ListBullet"/>
        <w:numPr>
          <w:ilvl w:val="0"/>
          <w:numId w:val="0"/>
        </w:numPr>
        <w:spacing w:before="120" w:after="120"/>
        <w:ind w:left="360" w:hanging="360"/>
        <w:contextualSpacing/>
      </w:pPr>
    </w:p>
    <w:p w14:paraId="24F4B112" w14:textId="77777777" w:rsidR="00891860" w:rsidRPr="0006231E" w:rsidRDefault="00891860" w:rsidP="00891860">
      <w:r>
        <w:t>Each of the Commissioners is also part of the Commission and, in this role, participates in Commission decisions.</w:t>
      </w:r>
    </w:p>
    <w:p w14:paraId="5A39B9D5" w14:textId="77777777" w:rsidR="00F56C36" w:rsidRPr="001864D5" w:rsidRDefault="00F56C36" w:rsidP="005C01F6">
      <w:pPr>
        <w:pStyle w:val="Heading1"/>
      </w:pPr>
      <w:r w:rsidRPr="001864D5">
        <w:t>The complaint handling function</w:t>
      </w:r>
    </w:p>
    <w:p w14:paraId="739B065A" w14:textId="3490121D" w:rsidR="00AC350D" w:rsidRDefault="00F56C36" w:rsidP="00F56C36">
      <w:pPr>
        <w:rPr>
          <w:rFonts w:cs="Arial"/>
        </w:rPr>
      </w:pPr>
      <w:r w:rsidRPr="001864D5">
        <w:rPr>
          <w:rFonts w:cs="Arial"/>
        </w:rPr>
        <w:t xml:space="preserve">Responsibility for </w:t>
      </w:r>
      <w:r w:rsidR="005C01F6">
        <w:rPr>
          <w:rFonts w:cs="Arial"/>
        </w:rPr>
        <w:t xml:space="preserve">the Commission's </w:t>
      </w:r>
      <w:r w:rsidRPr="001864D5">
        <w:rPr>
          <w:rFonts w:cs="Arial"/>
        </w:rPr>
        <w:t xml:space="preserve">complaint handling function is specifically vested </w:t>
      </w:r>
      <w:r w:rsidR="005C01F6">
        <w:rPr>
          <w:rFonts w:cs="Arial"/>
        </w:rPr>
        <w:t>in</w:t>
      </w:r>
      <w:r w:rsidRPr="001864D5">
        <w:rPr>
          <w:rFonts w:cs="Arial"/>
        </w:rPr>
        <w:t xml:space="preserve"> the President.</w:t>
      </w:r>
      <w:r w:rsidRPr="001864D5">
        <w:rPr>
          <w:rStyle w:val="FootnoteReference"/>
          <w:rFonts w:cs="Arial"/>
        </w:rPr>
        <w:footnoteReference w:id="5"/>
      </w:r>
      <w:r w:rsidRPr="001864D5">
        <w:rPr>
          <w:rFonts w:cs="Arial"/>
        </w:rPr>
        <w:t xml:space="preserve"> </w:t>
      </w:r>
      <w:r w:rsidR="005C01F6">
        <w:rPr>
          <w:rFonts w:cs="Arial"/>
        </w:rPr>
        <w:t xml:space="preserve">Individual Commissioners have no role in </w:t>
      </w:r>
      <w:r w:rsidR="00F2669A">
        <w:rPr>
          <w:rFonts w:cs="Arial"/>
        </w:rPr>
        <w:t>investigating or conciliating</w:t>
      </w:r>
      <w:r w:rsidR="005C01F6">
        <w:rPr>
          <w:rFonts w:cs="Arial"/>
        </w:rPr>
        <w:t xml:space="preserve"> complaints</w:t>
      </w:r>
      <w:r w:rsidR="00F2669A">
        <w:rPr>
          <w:rFonts w:cs="Arial"/>
        </w:rPr>
        <w:t>, though their function may involve providing information about the Commission’s complaint handling function</w:t>
      </w:r>
      <w:r w:rsidR="005C01F6">
        <w:rPr>
          <w:rFonts w:cs="Arial"/>
        </w:rPr>
        <w:t xml:space="preserve">. </w:t>
      </w:r>
    </w:p>
    <w:p w14:paraId="1D4FB311" w14:textId="77777777" w:rsidR="00F56C36" w:rsidRDefault="005C01F6" w:rsidP="00F56C36">
      <w:pPr>
        <w:rPr>
          <w:rFonts w:cs="Arial"/>
        </w:rPr>
      </w:pPr>
      <w:r>
        <w:rPr>
          <w:rFonts w:cs="Arial"/>
        </w:rPr>
        <w:t>To avoid any potential conflict between the complaint handling role of the President and the Commissioners</w:t>
      </w:r>
      <w:r w:rsidR="00891860">
        <w:rPr>
          <w:rFonts w:cs="Arial"/>
        </w:rPr>
        <w:t>’</w:t>
      </w:r>
      <w:r>
        <w:rPr>
          <w:rFonts w:cs="Arial"/>
        </w:rPr>
        <w:t xml:space="preserve"> roles, information regarding individual complaints </w:t>
      </w:r>
      <w:r w:rsidR="00891860">
        <w:rPr>
          <w:rFonts w:cs="Arial"/>
        </w:rPr>
        <w:t>is not</w:t>
      </w:r>
      <w:r>
        <w:rPr>
          <w:rFonts w:cs="Arial"/>
        </w:rPr>
        <w:t xml:space="preserve"> freely available to Commissioners. </w:t>
      </w:r>
    </w:p>
    <w:p w14:paraId="5C46D4DE" w14:textId="1E3155AD" w:rsidR="00BD6491" w:rsidRDefault="0006231E" w:rsidP="00F56C36">
      <w:r w:rsidRPr="00B97DC7">
        <w:t>General issues or themes arising in complaints received by the Commission may be brought to the attention of the relevant Commissioner if that general information will assist the Commission or the Commissioner</w:t>
      </w:r>
      <w:r w:rsidR="00891860">
        <w:t xml:space="preserve"> to</w:t>
      </w:r>
      <w:r w:rsidRPr="00B97DC7">
        <w:t xml:space="preserve"> fulfil the other functions of the Commission. Specific details of complaints will only be provided to Comm</w:t>
      </w:r>
      <w:r w:rsidR="00F51A5B" w:rsidRPr="00B97DC7">
        <w:t>issioners when it is necessary to perform the ot</w:t>
      </w:r>
      <w:r w:rsidR="00B97DC7" w:rsidRPr="00B97DC7">
        <w:t>her functions of the Commission</w:t>
      </w:r>
      <w:r w:rsidR="000F5B09">
        <w:t xml:space="preserve"> or the Commissioners,</w:t>
      </w:r>
      <w:r w:rsidR="00B97DC7" w:rsidRPr="00B97DC7">
        <w:t xml:space="preserve"> such as the amicus and intervention functions.</w:t>
      </w:r>
    </w:p>
    <w:p w14:paraId="01865A3E" w14:textId="77777777" w:rsidR="002B392A" w:rsidRDefault="002B392A" w:rsidP="00F56C36"/>
    <w:p w14:paraId="65B0842B" w14:textId="2AB875A7" w:rsidR="002B392A" w:rsidRPr="001864D5" w:rsidRDefault="002B392A" w:rsidP="00F56C36">
      <w:pPr>
        <w:rPr>
          <w:rFonts w:cs="Arial"/>
        </w:rPr>
      </w:pPr>
      <w:r>
        <w:t>19 December 2017</w:t>
      </w:r>
      <w:bookmarkStart w:id="3" w:name="_GoBack"/>
      <w:bookmarkEnd w:id="3"/>
    </w:p>
    <w:sectPr w:rsidR="002B392A" w:rsidRPr="001864D5" w:rsidSect="000F5B09">
      <w:footerReference w:type="default" r:id="rId7"/>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41CF" w14:textId="77777777" w:rsidR="00F354BF" w:rsidRDefault="00F354BF" w:rsidP="00F14C6D">
      <w:r>
        <w:separator/>
      </w:r>
    </w:p>
  </w:endnote>
  <w:endnote w:type="continuationSeparator" w:id="0">
    <w:p w14:paraId="296AA8E4" w14:textId="77777777" w:rsidR="00F354BF" w:rsidRDefault="00F354B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9AD8" w14:textId="621F12C9" w:rsidR="00D94CFD" w:rsidRDefault="00D94CFD" w:rsidP="00CE7182">
    <w:pPr>
      <w:pStyle w:val="Footer"/>
      <w:spacing w:before="0"/>
    </w:pPr>
    <w:r w:rsidRPr="0090165F">
      <w:fldChar w:fldCharType="begin"/>
    </w:r>
    <w:r w:rsidRPr="0090165F">
      <w:instrText xml:space="preserve"> PAGE   \* MERGEFORMAT </w:instrText>
    </w:r>
    <w:r w:rsidRPr="0090165F">
      <w:fldChar w:fldCharType="separate"/>
    </w:r>
    <w:r w:rsidR="002F2644">
      <w:rPr>
        <w:noProof/>
      </w:rPr>
      <w:t>1</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F6841" w14:textId="77777777" w:rsidR="00F354BF" w:rsidRDefault="00F354BF" w:rsidP="00F14C6D">
      <w:r>
        <w:separator/>
      </w:r>
    </w:p>
  </w:footnote>
  <w:footnote w:type="continuationSeparator" w:id="0">
    <w:p w14:paraId="13EF46E9" w14:textId="77777777" w:rsidR="00F354BF" w:rsidRDefault="00F354BF" w:rsidP="00F14C6D">
      <w:r>
        <w:continuationSeparator/>
      </w:r>
    </w:p>
  </w:footnote>
  <w:footnote w:id="1">
    <w:p w14:paraId="1564FE5D" w14:textId="480BED5C" w:rsidR="00C104E0" w:rsidRDefault="00C104E0" w:rsidP="00C104E0">
      <w:pPr>
        <w:pStyle w:val="FootnoteText"/>
      </w:pPr>
      <w:r>
        <w:rPr>
          <w:rStyle w:val="FootnoteReference"/>
        </w:rPr>
        <w:footnoteRef/>
      </w:r>
      <w:r>
        <w:t xml:space="preserve"> </w:t>
      </w:r>
      <w:r>
        <w:tab/>
      </w:r>
      <w:r>
        <w:rPr>
          <w:rFonts w:cs="Arial"/>
        </w:rPr>
        <w:t>AHRC</w:t>
      </w:r>
      <w:r w:rsidRPr="001D0A6B">
        <w:rPr>
          <w:rFonts w:cs="Arial"/>
        </w:rPr>
        <w:t xml:space="preserve"> Act s 8</w:t>
      </w:r>
      <w:r>
        <w:rPr>
          <w:rFonts w:cs="Arial"/>
        </w:rPr>
        <w:t>(1)</w:t>
      </w:r>
      <w:r w:rsidR="00FA3F1B">
        <w:rPr>
          <w:rFonts w:cs="Arial"/>
        </w:rPr>
        <w:t>.</w:t>
      </w:r>
    </w:p>
  </w:footnote>
  <w:footnote w:id="2">
    <w:p w14:paraId="5E7EF612" w14:textId="77777777" w:rsidR="00F56C36" w:rsidRPr="001D0A6B" w:rsidRDefault="00F56C36" w:rsidP="00F56C36">
      <w:pPr>
        <w:pStyle w:val="FootnoteText"/>
        <w:rPr>
          <w:rFonts w:cs="Arial"/>
        </w:rPr>
      </w:pPr>
      <w:r w:rsidRPr="001D0A6B">
        <w:rPr>
          <w:rStyle w:val="FootnoteReference"/>
          <w:rFonts w:cs="Arial"/>
        </w:rPr>
        <w:footnoteRef/>
      </w:r>
      <w:r w:rsidRPr="001D0A6B">
        <w:rPr>
          <w:rFonts w:cs="Arial"/>
        </w:rPr>
        <w:t xml:space="preserve"> </w:t>
      </w:r>
      <w:r>
        <w:rPr>
          <w:rFonts w:cs="Arial"/>
        </w:rPr>
        <w:tab/>
        <w:t>AHRC</w:t>
      </w:r>
      <w:r w:rsidRPr="001D0A6B">
        <w:rPr>
          <w:rFonts w:cs="Arial"/>
        </w:rPr>
        <w:t xml:space="preserve"> Act s 8A.</w:t>
      </w:r>
    </w:p>
  </w:footnote>
  <w:footnote w:id="3">
    <w:p w14:paraId="47B30AE6" w14:textId="77777777" w:rsidR="00F56C36" w:rsidRDefault="00F56C36" w:rsidP="00F51A5B">
      <w:pPr>
        <w:pStyle w:val="FootnoteText"/>
        <w:ind w:left="397" w:hanging="397"/>
      </w:pPr>
      <w:r>
        <w:rPr>
          <w:rStyle w:val="FootnoteReference"/>
        </w:rPr>
        <w:footnoteRef/>
      </w:r>
      <w:r>
        <w:t xml:space="preserve"> </w:t>
      </w:r>
      <w:r>
        <w:tab/>
        <w:t>AHRC Act s 8</w:t>
      </w:r>
      <w:r w:rsidR="00F51A5B">
        <w:t xml:space="preserve">. The Human Rights Commissioner, Aboriginal and Torres Strait Islander Social Justice </w:t>
      </w:r>
      <w:r w:rsidR="00F51A5B" w:rsidRPr="00F51A5B">
        <w:rPr>
          <w:rStyle w:val="FootnoteReference"/>
          <w:rFonts w:cs="Arial"/>
          <w:vertAlign w:val="baseline"/>
        </w:rPr>
        <w:t>Commissioner</w:t>
      </w:r>
      <w:r w:rsidR="00F51A5B">
        <w:t xml:space="preserve"> and National Children’s Commissioner are appointed under the AHRC Act and the Age, Disability, Race and Sex Discrimination </w:t>
      </w:r>
      <w:r w:rsidR="003261C7">
        <w:t>Commissioners</w:t>
      </w:r>
      <w:r w:rsidR="00F51A5B">
        <w:t xml:space="preserve"> are appointed under the specific discrimination Acts.</w:t>
      </w:r>
    </w:p>
  </w:footnote>
  <w:footnote w:id="4">
    <w:p w14:paraId="6F16B494" w14:textId="77777777" w:rsidR="00AC350D" w:rsidRPr="0006231E" w:rsidRDefault="00AC350D" w:rsidP="0006231E">
      <w:pPr>
        <w:pStyle w:val="FootnoteText"/>
        <w:ind w:left="397" w:hanging="397"/>
      </w:pPr>
      <w:r>
        <w:rPr>
          <w:rStyle w:val="FootnoteReference"/>
        </w:rPr>
        <w:footnoteRef/>
      </w:r>
      <w:r>
        <w:t xml:space="preserve"> </w:t>
      </w:r>
      <w:r>
        <w:tab/>
      </w:r>
      <w:r w:rsidR="00B374D7">
        <w:t>S</w:t>
      </w:r>
      <w:r w:rsidR="003261C7">
        <w:t>pecific functions given to the individual Commissioners include: the</w:t>
      </w:r>
      <w:r>
        <w:t xml:space="preserve"> amicus curiae function under s46PV of the AHRC Act, </w:t>
      </w:r>
      <w:r w:rsidRPr="001864D5">
        <w:rPr>
          <w:rFonts w:cs="Arial"/>
        </w:rPr>
        <w:t>functions concerning the human rights of Aboriginal pers</w:t>
      </w:r>
      <w:r>
        <w:rPr>
          <w:rFonts w:cs="Arial"/>
        </w:rPr>
        <w:t>ons and Torres Strait Islanders un</w:t>
      </w:r>
      <w:r w:rsidR="0006231E">
        <w:rPr>
          <w:rFonts w:cs="Arial"/>
        </w:rPr>
        <w:t xml:space="preserve">der Part IIA of the AHRC Act, functions relating to Native </w:t>
      </w:r>
      <w:r w:rsidR="003261C7">
        <w:rPr>
          <w:rFonts w:cs="Arial"/>
        </w:rPr>
        <w:t>Title</w:t>
      </w:r>
      <w:r w:rsidR="0006231E">
        <w:rPr>
          <w:rFonts w:cs="Arial"/>
        </w:rPr>
        <w:t xml:space="preserve"> under</w:t>
      </w:r>
      <w:r>
        <w:rPr>
          <w:rFonts w:cs="Arial"/>
        </w:rPr>
        <w:t xml:space="preserve"> </w:t>
      </w:r>
      <w:r w:rsidR="003261C7">
        <w:rPr>
          <w:rFonts w:cs="Arial"/>
        </w:rPr>
        <w:t>s </w:t>
      </w:r>
      <w:r w:rsidR="0006231E">
        <w:rPr>
          <w:rFonts w:cs="Arial"/>
        </w:rPr>
        <w:t xml:space="preserve">209 of the </w:t>
      </w:r>
      <w:r w:rsidR="003261C7" w:rsidRPr="001864D5">
        <w:rPr>
          <w:rFonts w:cs="Arial"/>
          <w:i/>
        </w:rPr>
        <w:t>Native Title Act 1993</w:t>
      </w:r>
      <w:r w:rsidR="0006231E">
        <w:rPr>
          <w:rFonts w:cs="Arial"/>
        </w:rPr>
        <w:t xml:space="preserve">, </w:t>
      </w:r>
      <w:r w:rsidR="0006231E" w:rsidRPr="001864D5">
        <w:t>functions rel</w:t>
      </w:r>
      <w:r w:rsidR="0006231E">
        <w:t xml:space="preserve">ating to the rights of Children under Part IIAA of the AHRC Act and </w:t>
      </w:r>
      <w:r w:rsidR="0006231E" w:rsidRPr="001864D5">
        <w:rPr>
          <w:rFonts w:cs="Arial"/>
        </w:rPr>
        <w:t xml:space="preserve">the function </w:t>
      </w:r>
      <w:r w:rsidR="0006231E" w:rsidRPr="001864D5">
        <w:rPr>
          <w:rFonts w:cs="Arial"/>
          <w:iCs/>
        </w:rPr>
        <w:t>of applying to Fair Work Australia for orders to ensure equal remuneration for work of equal value</w:t>
      </w:r>
      <w:r w:rsidR="0006231E">
        <w:rPr>
          <w:rFonts w:cs="Arial"/>
          <w:iCs/>
        </w:rPr>
        <w:t xml:space="preserve"> </w:t>
      </w:r>
      <w:r w:rsidR="0006231E">
        <w:rPr>
          <w:rFonts w:cs="Arial"/>
        </w:rPr>
        <w:t>u</w:t>
      </w:r>
      <w:r w:rsidR="0006231E" w:rsidRPr="001864D5">
        <w:rPr>
          <w:rFonts w:cs="Arial"/>
        </w:rPr>
        <w:t xml:space="preserve">nder Part 2-7 Division 1 of the </w:t>
      </w:r>
      <w:r w:rsidR="0006231E" w:rsidRPr="001864D5">
        <w:rPr>
          <w:rFonts w:cs="Arial"/>
          <w:i/>
          <w:iCs/>
        </w:rPr>
        <w:t>Fair Work Act 2009</w:t>
      </w:r>
      <w:r w:rsidR="0006231E">
        <w:rPr>
          <w:rFonts w:cs="Arial"/>
          <w:iCs/>
        </w:rPr>
        <w:t>.</w:t>
      </w:r>
    </w:p>
  </w:footnote>
  <w:footnote w:id="5">
    <w:p w14:paraId="551A8F7F" w14:textId="77777777" w:rsidR="00F56C36" w:rsidRPr="001D0A6B" w:rsidRDefault="00F56C36" w:rsidP="00F56C36">
      <w:pPr>
        <w:pStyle w:val="FootnoteText"/>
        <w:rPr>
          <w:rFonts w:cs="Arial"/>
        </w:rPr>
      </w:pPr>
      <w:r w:rsidRPr="001D0A6B">
        <w:rPr>
          <w:rStyle w:val="FootnoteReference"/>
          <w:rFonts w:cs="Arial"/>
        </w:rPr>
        <w:footnoteRef/>
      </w:r>
      <w:r w:rsidRPr="001D0A6B">
        <w:rPr>
          <w:rFonts w:cs="Arial"/>
        </w:rPr>
        <w:t xml:space="preserve"> </w:t>
      </w:r>
      <w:r>
        <w:rPr>
          <w:rFonts w:cs="Arial"/>
        </w:rPr>
        <w:tab/>
        <w:t>AHRC</w:t>
      </w:r>
      <w:r w:rsidRPr="001D0A6B">
        <w:rPr>
          <w:rFonts w:cs="Arial"/>
        </w:rPr>
        <w:t xml:space="preserve"> Act, s 8(6)</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62F5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341EB"/>
    <w:multiLevelType w:val="hybridMultilevel"/>
    <w:tmpl w:val="29421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EA3E46"/>
    <w:multiLevelType w:val="hybridMultilevel"/>
    <w:tmpl w:val="79B45F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E37305"/>
    <w:multiLevelType w:val="hybridMultilevel"/>
    <w:tmpl w:val="C83ADFE2"/>
    <w:lvl w:ilvl="0" w:tplc="10225C0C">
      <w:start w:val="8"/>
      <w:numFmt w:val="bullet"/>
      <w:lvlText w:val=""/>
      <w:lvlJc w:val="left"/>
      <w:pPr>
        <w:ind w:left="720" w:hanging="720"/>
      </w:pPr>
      <w:rPr>
        <w:rFonts w:ascii="Symbol" w:eastAsia="MS Mincho" w:hAnsi="Symbol" w:cs="Times New Roman" w:hint="default"/>
        <w:b w:val="0"/>
      </w:rPr>
    </w:lvl>
    <w:lvl w:ilvl="1" w:tplc="10225C0C">
      <w:start w:val="8"/>
      <w:numFmt w:val="bullet"/>
      <w:lvlText w:val=""/>
      <w:lvlJc w:val="left"/>
      <w:pPr>
        <w:ind w:left="1440" w:hanging="360"/>
      </w:pPr>
      <w:rPr>
        <w:rFonts w:ascii="Symbol" w:eastAsia="MS Mincho" w:hAnsi="Symbol"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5531300"/>
    <w:multiLevelType w:val="hybridMultilevel"/>
    <w:tmpl w:val="51D4C0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5A6613A"/>
    <w:multiLevelType w:val="hybridMultilevel"/>
    <w:tmpl w:val="67B4FBF4"/>
    <w:lvl w:ilvl="0" w:tplc="AFB8D2A2">
      <w:start w:val="1"/>
      <w:numFmt w:val="decimal"/>
      <w:lvlText w:val="%1."/>
      <w:lvlJc w:val="left"/>
      <w:pPr>
        <w:ind w:left="720" w:hanging="720"/>
      </w:pPr>
      <w:rPr>
        <w:rFonts w:hint="default"/>
        <w:b w:val="0"/>
      </w:rPr>
    </w:lvl>
    <w:lvl w:ilvl="1" w:tplc="10225C0C">
      <w:start w:val="8"/>
      <w:numFmt w:val="bullet"/>
      <w:lvlText w:val=""/>
      <w:lvlJc w:val="left"/>
      <w:pPr>
        <w:ind w:left="1440" w:hanging="360"/>
      </w:pPr>
      <w:rPr>
        <w:rFonts w:ascii="Symbol" w:eastAsia="MS Mincho" w:hAnsi="Symbol"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013561A"/>
    <w:multiLevelType w:val="hybridMultilevel"/>
    <w:tmpl w:val="C1F0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0D3526"/>
    <w:multiLevelType w:val="hybridMultilevel"/>
    <w:tmpl w:val="B2E20C30"/>
    <w:lvl w:ilvl="0" w:tplc="AFB8D2A2">
      <w:start w:val="1"/>
      <w:numFmt w:val="decimal"/>
      <w:lvlText w:val="%1."/>
      <w:lvlJc w:val="left"/>
      <w:pPr>
        <w:ind w:left="720" w:hanging="72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B31D93"/>
    <w:multiLevelType w:val="hybridMultilevel"/>
    <w:tmpl w:val="79B45F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BAD611F"/>
    <w:multiLevelType w:val="hybridMultilevel"/>
    <w:tmpl w:val="51DA9E6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56181F41"/>
    <w:multiLevelType w:val="hybridMultilevel"/>
    <w:tmpl w:val="58E0154C"/>
    <w:lvl w:ilvl="0" w:tplc="10225C0C">
      <w:start w:val="8"/>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C2270D"/>
    <w:multiLevelType w:val="hybridMultilevel"/>
    <w:tmpl w:val="936E5ECE"/>
    <w:lvl w:ilvl="0" w:tplc="10225C0C">
      <w:start w:val="8"/>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257238"/>
    <w:multiLevelType w:val="hybridMultilevel"/>
    <w:tmpl w:val="79B45F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67946140"/>
    <w:multiLevelType w:val="hybridMultilevel"/>
    <w:tmpl w:val="30A8F6D6"/>
    <w:lvl w:ilvl="0" w:tplc="10225C0C">
      <w:start w:val="8"/>
      <w:numFmt w:val="bullet"/>
      <w:lvlText w:val=""/>
      <w:lvlJc w:val="left"/>
      <w:pPr>
        <w:ind w:left="720" w:hanging="720"/>
      </w:pPr>
      <w:rPr>
        <w:rFonts w:ascii="Symbol" w:eastAsia="MS Mincho" w:hAnsi="Symbol" w:cs="Times New Roman"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0"/>
  </w:num>
  <w:num w:numId="12">
    <w:abstractNumId w:val="22"/>
  </w:num>
  <w:num w:numId="13">
    <w:abstractNumId w:val="16"/>
  </w:num>
  <w:num w:numId="14">
    <w:abstractNumId w:val="28"/>
  </w:num>
  <w:num w:numId="15">
    <w:abstractNumId w:val="18"/>
  </w:num>
  <w:num w:numId="16">
    <w:abstractNumId w:val="11"/>
  </w:num>
  <w:num w:numId="17">
    <w:abstractNumId w:val="3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23"/>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5"/>
  </w:num>
  <w:num w:numId="28">
    <w:abstractNumId w:val="17"/>
  </w:num>
  <w:num w:numId="29">
    <w:abstractNumId w:val="25"/>
  </w:num>
  <w:num w:numId="30">
    <w:abstractNumId w:val="33"/>
  </w:num>
  <w:num w:numId="31">
    <w:abstractNumId w:val="36"/>
  </w:num>
  <w:num w:numId="32">
    <w:abstractNumId w:val="32"/>
  </w:num>
  <w:num w:numId="33">
    <w:abstractNumId w:val="21"/>
  </w:num>
  <w:num w:numId="34">
    <w:abstractNumId w:val="15"/>
  </w:num>
  <w:num w:numId="35">
    <w:abstractNumId w:val="24"/>
  </w:num>
  <w:num w:numId="36">
    <w:abstractNumId w:val="27"/>
  </w:num>
  <w:num w:numId="37">
    <w:abstractNumId w:val="14"/>
  </w:num>
  <w:num w:numId="38">
    <w:abstractNumId w:val="34"/>
  </w:num>
  <w:num w:numId="39">
    <w:abstractNumId w:val="10"/>
  </w:num>
  <w:num w:numId="40">
    <w:abstractNumId w:val="18"/>
  </w:num>
  <w:num w:numId="41">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97"/>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43"/>
    <w:rsid w:val="0001254B"/>
    <w:rsid w:val="00013272"/>
    <w:rsid w:val="00021134"/>
    <w:rsid w:val="00026C65"/>
    <w:rsid w:val="000540A0"/>
    <w:rsid w:val="00056EAF"/>
    <w:rsid w:val="000579B1"/>
    <w:rsid w:val="00061380"/>
    <w:rsid w:val="0006231E"/>
    <w:rsid w:val="00064CA5"/>
    <w:rsid w:val="000658AB"/>
    <w:rsid w:val="0007201F"/>
    <w:rsid w:val="00074750"/>
    <w:rsid w:val="00074CD6"/>
    <w:rsid w:val="000B0A5D"/>
    <w:rsid w:val="000D735F"/>
    <w:rsid w:val="000F5B09"/>
    <w:rsid w:val="001011C8"/>
    <w:rsid w:val="00132462"/>
    <w:rsid w:val="00140077"/>
    <w:rsid w:val="00151819"/>
    <w:rsid w:val="001523D8"/>
    <w:rsid w:val="00152661"/>
    <w:rsid w:val="001566D4"/>
    <w:rsid w:val="001566E1"/>
    <w:rsid w:val="00162093"/>
    <w:rsid w:val="00162A8D"/>
    <w:rsid w:val="001736A2"/>
    <w:rsid w:val="00184098"/>
    <w:rsid w:val="001867A2"/>
    <w:rsid w:val="00187D55"/>
    <w:rsid w:val="00190C1A"/>
    <w:rsid w:val="001A5D46"/>
    <w:rsid w:val="001B0353"/>
    <w:rsid w:val="001C139C"/>
    <w:rsid w:val="001C4259"/>
    <w:rsid w:val="001C451B"/>
    <w:rsid w:val="001C6ADA"/>
    <w:rsid w:val="001E7D73"/>
    <w:rsid w:val="001F2BBB"/>
    <w:rsid w:val="001F4A6D"/>
    <w:rsid w:val="001F6586"/>
    <w:rsid w:val="0020002E"/>
    <w:rsid w:val="0020759E"/>
    <w:rsid w:val="0022130D"/>
    <w:rsid w:val="00231ED1"/>
    <w:rsid w:val="00232A40"/>
    <w:rsid w:val="0023303F"/>
    <w:rsid w:val="00234889"/>
    <w:rsid w:val="0024300C"/>
    <w:rsid w:val="0024557E"/>
    <w:rsid w:val="002702D9"/>
    <w:rsid w:val="002854A2"/>
    <w:rsid w:val="002B392A"/>
    <w:rsid w:val="002B7741"/>
    <w:rsid w:val="002F2644"/>
    <w:rsid w:val="002F5536"/>
    <w:rsid w:val="002F5F96"/>
    <w:rsid w:val="002F6A0A"/>
    <w:rsid w:val="003040CA"/>
    <w:rsid w:val="003108CA"/>
    <w:rsid w:val="00310ED4"/>
    <w:rsid w:val="0031492A"/>
    <w:rsid w:val="00316504"/>
    <w:rsid w:val="00316C1A"/>
    <w:rsid w:val="00321AF0"/>
    <w:rsid w:val="003261C7"/>
    <w:rsid w:val="00355904"/>
    <w:rsid w:val="0036759D"/>
    <w:rsid w:val="00377C8F"/>
    <w:rsid w:val="00380BF6"/>
    <w:rsid w:val="003931C7"/>
    <w:rsid w:val="0039466E"/>
    <w:rsid w:val="003955AE"/>
    <w:rsid w:val="00395B25"/>
    <w:rsid w:val="003A533F"/>
    <w:rsid w:val="003A695A"/>
    <w:rsid w:val="003B18A7"/>
    <w:rsid w:val="003B2D0A"/>
    <w:rsid w:val="003C79E7"/>
    <w:rsid w:val="003D5D1A"/>
    <w:rsid w:val="003E1B15"/>
    <w:rsid w:val="003F0CEE"/>
    <w:rsid w:val="00404AC5"/>
    <w:rsid w:val="004215B3"/>
    <w:rsid w:val="00444303"/>
    <w:rsid w:val="00445FAE"/>
    <w:rsid w:val="004561BE"/>
    <w:rsid w:val="0045716A"/>
    <w:rsid w:val="004613D6"/>
    <w:rsid w:val="00462D4C"/>
    <w:rsid w:val="00473DB9"/>
    <w:rsid w:val="00474063"/>
    <w:rsid w:val="00476EEA"/>
    <w:rsid w:val="00494D4B"/>
    <w:rsid w:val="004A722D"/>
    <w:rsid w:val="004B26DD"/>
    <w:rsid w:val="004C1D61"/>
    <w:rsid w:val="004C6CBA"/>
    <w:rsid w:val="004E14CD"/>
    <w:rsid w:val="004E3B84"/>
    <w:rsid w:val="004F3A80"/>
    <w:rsid w:val="004F53EF"/>
    <w:rsid w:val="00501C43"/>
    <w:rsid w:val="0050288A"/>
    <w:rsid w:val="00503E04"/>
    <w:rsid w:val="00504B28"/>
    <w:rsid w:val="00513540"/>
    <w:rsid w:val="00522CED"/>
    <w:rsid w:val="005346C0"/>
    <w:rsid w:val="00554C04"/>
    <w:rsid w:val="005619F7"/>
    <w:rsid w:val="005621C3"/>
    <w:rsid w:val="00576564"/>
    <w:rsid w:val="00594072"/>
    <w:rsid w:val="005B7515"/>
    <w:rsid w:val="005C01F6"/>
    <w:rsid w:val="005C1654"/>
    <w:rsid w:val="005D04F4"/>
    <w:rsid w:val="005D1F34"/>
    <w:rsid w:val="005E730A"/>
    <w:rsid w:val="005F5F45"/>
    <w:rsid w:val="006317FE"/>
    <w:rsid w:val="006331DE"/>
    <w:rsid w:val="00633816"/>
    <w:rsid w:val="00650028"/>
    <w:rsid w:val="006845B8"/>
    <w:rsid w:val="00690313"/>
    <w:rsid w:val="00696390"/>
    <w:rsid w:val="006A6BB3"/>
    <w:rsid w:val="006B1F76"/>
    <w:rsid w:val="006B3680"/>
    <w:rsid w:val="006D26D9"/>
    <w:rsid w:val="006D5EE5"/>
    <w:rsid w:val="006E06ED"/>
    <w:rsid w:val="006E06F5"/>
    <w:rsid w:val="006E78E8"/>
    <w:rsid w:val="006F4D3F"/>
    <w:rsid w:val="007039FC"/>
    <w:rsid w:val="00703F5F"/>
    <w:rsid w:val="00706FAB"/>
    <w:rsid w:val="00707389"/>
    <w:rsid w:val="00707793"/>
    <w:rsid w:val="007169BB"/>
    <w:rsid w:val="00717A0B"/>
    <w:rsid w:val="00720930"/>
    <w:rsid w:val="00725D5E"/>
    <w:rsid w:val="00726ADB"/>
    <w:rsid w:val="007548CA"/>
    <w:rsid w:val="00762C12"/>
    <w:rsid w:val="00770DCB"/>
    <w:rsid w:val="00775485"/>
    <w:rsid w:val="007841E1"/>
    <w:rsid w:val="007C628B"/>
    <w:rsid w:val="007D40BD"/>
    <w:rsid w:val="007E1866"/>
    <w:rsid w:val="007E231D"/>
    <w:rsid w:val="007E6434"/>
    <w:rsid w:val="00810ABF"/>
    <w:rsid w:val="008125EE"/>
    <w:rsid w:val="0083209A"/>
    <w:rsid w:val="00840383"/>
    <w:rsid w:val="00845200"/>
    <w:rsid w:val="0085111B"/>
    <w:rsid w:val="008724DE"/>
    <w:rsid w:val="00891860"/>
    <w:rsid w:val="008A2AF7"/>
    <w:rsid w:val="008A3D57"/>
    <w:rsid w:val="008D75E2"/>
    <w:rsid w:val="008E3D60"/>
    <w:rsid w:val="008F74C1"/>
    <w:rsid w:val="0090165F"/>
    <w:rsid w:val="00921CB7"/>
    <w:rsid w:val="00922A0B"/>
    <w:rsid w:val="00923C4F"/>
    <w:rsid w:val="009373F9"/>
    <w:rsid w:val="009472C4"/>
    <w:rsid w:val="00950E88"/>
    <w:rsid w:val="00954D0D"/>
    <w:rsid w:val="00966C2F"/>
    <w:rsid w:val="009802F3"/>
    <w:rsid w:val="00987BE1"/>
    <w:rsid w:val="009967E3"/>
    <w:rsid w:val="009A5753"/>
    <w:rsid w:val="009B47EF"/>
    <w:rsid w:val="009C5ACA"/>
    <w:rsid w:val="009C5FB8"/>
    <w:rsid w:val="009D592B"/>
    <w:rsid w:val="009E0676"/>
    <w:rsid w:val="009E2B26"/>
    <w:rsid w:val="009E7FC4"/>
    <w:rsid w:val="009F1418"/>
    <w:rsid w:val="009F51D9"/>
    <w:rsid w:val="009F7AAC"/>
    <w:rsid w:val="00A02F56"/>
    <w:rsid w:val="00A0406E"/>
    <w:rsid w:val="00A23023"/>
    <w:rsid w:val="00A41355"/>
    <w:rsid w:val="00A43B92"/>
    <w:rsid w:val="00A44720"/>
    <w:rsid w:val="00A6179E"/>
    <w:rsid w:val="00A66D79"/>
    <w:rsid w:val="00A66E62"/>
    <w:rsid w:val="00A66F67"/>
    <w:rsid w:val="00AA1E91"/>
    <w:rsid w:val="00AB2F02"/>
    <w:rsid w:val="00AC27AB"/>
    <w:rsid w:val="00AC350D"/>
    <w:rsid w:val="00AC6A34"/>
    <w:rsid w:val="00AD0935"/>
    <w:rsid w:val="00AE503C"/>
    <w:rsid w:val="00AE76EB"/>
    <w:rsid w:val="00B11415"/>
    <w:rsid w:val="00B14305"/>
    <w:rsid w:val="00B22697"/>
    <w:rsid w:val="00B277E0"/>
    <w:rsid w:val="00B374D7"/>
    <w:rsid w:val="00B52E2D"/>
    <w:rsid w:val="00B76653"/>
    <w:rsid w:val="00B97DC7"/>
    <w:rsid w:val="00BA2221"/>
    <w:rsid w:val="00BA262D"/>
    <w:rsid w:val="00BC79EB"/>
    <w:rsid w:val="00BD6491"/>
    <w:rsid w:val="00C076F2"/>
    <w:rsid w:val="00C104E0"/>
    <w:rsid w:val="00C247EB"/>
    <w:rsid w:val="00C25707"/>
    <w:rsid w:val="00C25BDA"/>
    <w:rsid w:val="00C50F54"/>
    <w:rsid w:val="00C536B2"/>
    <w:rsid w:val="00C53971"/>
    <w:rsid w:val="00C54FB1"/>
    <w:rsid w:val="00C80F9F"/>
    <w:rsid w:val="00C95DCE"/>
    <w:rsid w:val="00CA0D78"/>
    <w:rsid w:val="00CB27A8"/>
    <w:rsid w:val="00CE7182"/>
    <w:rsid w:val="00D06994"/>
    <w:rsid w:val="00D2146B"/>
    <w:rsid w:val="00D36D90"/>
    <w:rsid w:val="00D50700"/>
    <w:rsid w:val="00D65C76"/>
    <w:rsid w:val="00D755FF"/>
    <w:rsid w:val="00D830F6"/>
    <w:rsid w:val="00D94CFD"/>
    <w:rsid w:val="00DA2F73"/>
    <w:rsid w:val="00DA42E8"/>
    <w:rsid w:val="00DC193F"/>
    <w:rsid w:val="00DC3C4F"/>
    <w:rsid w:val="00DC462F"/>
    <w:rsid w:val="00DE3A8F"/>
    <w:rsid w:val="00E02B28"/>
    <w:rsid w:val="00E224EE"/>
    <w:rsid w:val="00E24FA3"/>
    <w:rsid w:val="00E328CD"/>
    <w:rsid w:val="00E45954"/>
    <w:rsid w:val="00E75D90"/>
    <w:rsid w:val="00E835AF"/>
    <w:rsid w:val="00E97EF8"/>
    <w:rsid w:val="00EC1D04"/>
    <w:rsid w:val="00EC4F02"/>
    <w:rsid w:val="00ED45B8"/>
    <w:rsid w:val="00EE180B"/>
    <w:rsid w:val="00EE44D7"/>
    <w:rsid w:val="00EF0EF2"/>
    <w:rsid w:val="00F14C6D"/>
    <w:rsid w:val="00F22ED5"/>
    <w:rsid w:val="00F2669A"/>
    <w:rsid w:val="00F3062A"/>
    <w:rsid w:val="00F3100E"/>
    <w:rsid w:val="00F354BF"/>
    <w:rsid w:val="00F51A5B"/>
    <w:rsid w:val="00F56C36"/>
    <w:rsid w:val="00F658C0"/>
    <w:rsid w:val="00F71A6E"/>
    <w:rsid w:val="00F74F44"/>
    <w:rsid w:val="00F9078E"/>
    <w:rsid w:val="00F95982"/>
    <w:rsid w:val="00FA3F1B"/>
    <w:rsid w:val="00FA7511"/>
    <w:rsid w:val="00FC582E"/>
    <w:rsid w:val="00FD754C"/>
    <w:rsid w:val="00FF4879"/>
    <w:rsid w:val="00FF69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0DA52B0"/>
  <w15:chartTrackingRefBased/>
  <w15:docId w15:val="{75B7523B-05E1-4BEE-BA3A-E447E070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C43"/>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501C43"/>
    <w:pPr>
      <w:ind w:left="720"/>
      <w:contextualSpacing/>
    </w:pPr>
  </w:style>
  <w:style w:type="paragraph" w:customStyle="1" w:styleId="Reply">
    <w:name w:val="Reply"/>
    <w:basedOn w:val="Normal"/>
    <w:semiHidden/>
    <w:rsid w:val="00501C43"/>
    <w:pPr>
      <w:spacing w:after="120" w:line="280" w:lineRule="exact"/>
    </w:pPr>
    <w:rPr>
      <w:color w:val="000000"/>
      <w:szCs w:val="20"/>
      <w:lang w:eastAsia="en-US"/>
    </w:rPr>
  </w:style>
  <w:style w:type="paragraph" w:styleId="BalloonText">
    <w:name w:val="Balloon Text"/>
    <w:basedOn w:val="Normal"/>
    <w:link w:val="BalloonTextChar"/>
    <w:semiHidden/>
    <w:unhideWhenUsed/>
    <w:locked/>
    <w:rsid w:val="004613D6"/>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4613D6"/>
    <w:rPr>
      <w:rFonts w:ascii="Segoe UI" w:hAnsi="Segoe UI" w:cs="Segoe UI"/>
      <w:sz w:val="18"/>
      <w:szCs w:val="18"/>
    </w:rPr>
  </w:style>
  <w:style w:type="paragraph" w:customStyle="1" w:styleId="paragraph">
    <w:name w:val="paragraph"/>
    <w:basedOn w:val="Normal"/>
    <w:rsid w:val="001736A2"/>
    <w:pPr>
      <w:spacing w:before="100" w:beforeAutospacing="1" w:after="100" w:afterAutospacing="1"/>
    </w:pPr>
    <w:rPr>
      <w:rFonts w:ascii="Times New Roman" w:hAnsi="Times New Roman"/>
    </w:rPr>
  </w:style>
  <w:style w:type="paragraph" w:customStyle="1" w:styleId="paragraphsub">
    <w:name w:val="paragraphsub"/>
    <w:basedOn w:val="Normal"/>
    <w:rsid w:val="00187D55"/>
    <w:pPr>
      <w:spacing w:before="100" w:beforeAutospacing="1" w:after="100" w:afterAutospacing="1"/>
    </w:pPr>
    <w:rPr>
      <w:rFonts w:ascii="Times New Roman" w:hAnsi="Times New Roman"/>
    </w:rPr>
  </w:style>
  <w:style w:type="paragraph" w:customStyle="1" w:styleId="subsection">
    <w:name w:val="subsection"/>
    <w:basedOn w:val="Normal"/>
    <w:rsid w:val="00D94CF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locked/>
    <w:rsid w:val="0085111B"/>
    <w:rPr>
      <w:sz w:val="18"/>
      <w:szCs w:val="18"/>
    </w:rPr>
  </w:style>
  <w:style w:type="paragraph" w:styleId="CommentText">
    <w:name w:val="annotation text"/>
    <w:basedOn w:val="Normal"/>
    <w:link w:val="CommentTextChar"/>
    <w:semiHidden/>
    <w:unhideWhenUsed/>
    <w:locked/>
    <w:rsid w:val="0085111B"/>
  </w:style>
  <w:style w:type="character" w:customStyle="1" w:styleId="CommentTextChar">
    <w:name w:val="Comment Text Char"/>
    <w:basedOn w:val="DefaultParagraphFont"/>
    <w:link w:val="CommentText"/>
    <w:semiHidden/>
    <w:rsid w:val="0085111B"/>
    <w:rPr>
      <w:rFonts w:ascii="Arial" w:hAnsi="Arial"/>
      <w:sz w:val="24"/>
      <w:szCs w:val="24"/>
    </w:rPr>
  </w:style>
  <w:style w:type="paragraph" w:styleId="CommentSubject">
    <w:name w:val="annotation subject"/>
    <w:basedOn w:val="CommentText"/>
    <w:next w:val="CommentText"/>
    <w:link w:val="CommentSubjectChar"/>
    <w:semiHidden/>
    <w:unhideWhenUsed/>
    <w:locked/>
    <w:rsid w:val="0085111B"/>
    <w:rPr>
      <w:b/>
      <w:bCs/>
      <w:sz w:val="20"/>
      <w:szCs w:val="20"/>
    </w:rPr>
  </w:style>
  <w:style w:type="character" w:customStyle="1" w:styleId="CommentSubjectChar">
    <w:name w:val="Comment Subject Char"/>
    <w:basedOn w:val="CommentTextChar"/>
    <w:link w:val="CommentSubject"/>
    <w:semiHidden/>
    <w:rsid w:val="0085111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64751">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53856201">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4290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Anna Blacket</cp:lastModifiedBy>
  <cp:revision>2</cp:revision>
  <cp:lastPrinted>2017-03-16T03:14:00Z</cp:lastPrinted>
  <dcterms:created xsi:type="dcterms:W3CDTF">2017-12-19T23:21:00Z</dcterms:created>
  <dcterms:modified xsi:type="dcterms:W3CDTF">2017-12-19T23:21:00Z</dcterms:modified>
</cp:coreProperties>
</file>