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4E" w:rsidRPr="00734B11" w:rsidRDefault="002A6E4E" w:rsidP="002A6E4E">
      <w:pPr>
        <w:rPr>
          <w:b/>
          <w:bCs/>
          <w:i/>
          <w:iCs/>
          <w:sz w:val="20"/>
          <w:szCs w:val="20"/>
        </w:rPr>
      </w:pPr>
      <w:bookmarkStart w:id="0" w:name="_GoBack"/>
      <w:bookmarkEnd w:id="0"/>
      <w:r w:rsidRPr="002A6E4E">
        <w:rPr>
          <w:b/>
          <w:bCs/>
          <w:i/>
          <w:iCs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A00BFB0" wp14:editId="09C6C2B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23870" cy="611505"/>
            <wp:effectExtent l="0" t="0" r="5080" b="0"/>
            <wp:wrapSquare wrapText="bothSides"/>
            <wp:docPr id="1" name="Picture 1" descr="DSS logo_strip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S logo_strip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4B11">
        <w:rPr>
          <w:b/>
          <w:bCs/>
          <w:i/>
          <w:iCs/>
        </w:rPr>
        <w:br w:type="textWrapping" w:clear="all"/>
      </w:r>
    </w:p>
    <w:p w:rsidR="002A6E4E" w:rsidRPr="00734B11" w:rsidRDefault="002A6E4E" w:rsidP="002A6E4E">
      <w:pPr>
        <w:rPr>
          <w:sz w:val="20"/>
          <w:szCs w:val="20"/>
        </w:rPr>
      </w:pPr>
      <w:r w:rsidRPr="00734B11">
        <w:rPr>
          <w:sz w:val="20"/>
          <w:szCs w:val="20"/>
        </w:rPr>
        <w:t>The following data is provided to the Australian Human Rights Commission in a consistent format to</w:t>
      </w:r>
      <w:r w:rsidR="00582EBC">
        <w:rPr>
          <w:sz w:val="20"/>
          <w:szCs w:val="20"/>
        </w:rPr>
        <w:t xml:space="preserve"> that required under condition a b and c</w:t>
      </w:r>
      <w:r w:rsidR="00485AC2">
        <w:rPr>
          <w:sz w:val="20"/>
          <w:szCs w:val="20"/>
        </w:rPr>
        <w:t xml:space="preserve"> of the </w:t>
      </w:r>
      <w:r w:rsidR="005D3601">
        <w:rPr>
          <w:sz w:val="20"/>
          <w:szCs w:val="20"/>
        </w:rPr>
        <w:t>18 December 2015</w:t>
      </w:r>
      <w:r w:rsidRPr="00734B11">
        <w:rPr>
          <w:sz w:val="20"/>
          <w:szCs w:val="20"/>
        </w:rPr>
        <w:t xml:space="preserve"> exemption under the </w:t>
      </w:r>
      <w:r w:rsidR="00485AC2">
        <w:rPr>
          <w:sz w:val="20"/>
          <w:szCs w:val="20"/>
        </w:rPr>
        <w:br/>
      </w:r>
      <w:r w:rsidRPr="00734B11">
        <w:rPr>
          <w:i/>
          <w:sz w:val="20"/>
          <w:szCs w:val="20"/>
        </w:rPr>
        <w:t xml:space="preserve">Disability Discrimination Act 1992 </w:t>
      </w:r>
      <w:r w:rsidRPr="00734B11">
        <w:rPr>
          <w:sz w:val="20"/>
          <w:szCs w:val="20"/>
        </w:rPr>
        <w:t>for the Commonwealth and all Australian Disability Enterprises (ADEs) using or proposing to use the Business Services Wage Assessment Tool (BSWAT).</w:t>
      </w:r>
    </w:p>
    <w:p w:rsidR="002A6E4E" w:rsidRDefault="002A6E4E" w:rsidP="002A6E4E">
      <w:pPr>
        <w:rPr>
          <w:sz w:val="20"/>
          <w:szCs w:val="20"/>
        </w:rPr>
      </w:pPr>
      <w:r w:rsidRPr="00734B11">
        <w:rPr>
          <w:sz w:val="20"/>
          <w:szCs w:val="20"/>
        </w:rPr>
        <w:t xml:space="preserve">The period covered </w:t>
      </w:r>
      <w:r w:rsidR="00461D1B">
        <w:rPr>
          <w:sz w:val="20"/>
          <w:szCs w:val="20"/>
        </w:rPr>
        <w:t xml:space="preserve">is </w:t>
      </w:r>
      <w:r w:rsidR="00BF0C28">
        <w:rPr>
          <w:sz w:val="20"/>
          <w:szCs w:val="20"/>
        </w:rPr>
        <w:t>from 18 December 2015 to 31</w:t>
      </w:r>
      <w:r w:rsidR="00F72449">
        <w:rPr>
          <w:sz w:val="20"/>
          <w:szCs w:val="20"/>
        </w:rPr>
        <w:t xml:space="preserve"> </w:t>
      </w:r>
      <w:r w:rsidR="005D3601">
        <w:rPr>
          <w:sz w:val="20"/>
          <w:szCs w:val="20"/>
        </w:rPr>
        <w:t>January 2016</w:t>
      </w:r>
      <w:r w:rsidR="000B5AC6">
        <w:rPr>
          <w:sz w:val="20"/>
          <w:szCs w:val="20"/>
        </w:rPr>
        <w:t>.</w:t>
      </w:r>
    </w:p>
    <w:p w:rsidR="00BF0C28" w:rsidRDefault="00582EBC" w:rsidP="002A6E4E">
      <w:pPr>
        <w:rPr>
          <w:b/>
          <w:i/>
          <w:sz w:val="20"/>
          <w:szCs w:val="20"/>
        </w:rPr>
      </w:pPr>
      <w:r w:rsidRPr="00582EBC">
        <w:rPr>
          <w:b/>
          <w:i/>
          <w:sz w:val="20"/>
          <w:szCs w:val="20"/>
        </w:rPr>
        <w:t xml:space="preserve">Commonwealths steps to ensure transition from BSWAT to an alternative wage tool approved by the Fair work Commission (FWC)  </w:t>
      </w:r>
    </w:p>
    <w:p w:rsidR="00582EBC" w:rsidRPr="00BF0C28" w:rsidRDefault="00461D1B" w:rsidP="002A6E4E">
      <w:pPr>
        <w:rPr>
          <w:b/>
          <w:i/>
          <w:sz w:val="20"/>
          <w:szCs w:val="20"/>
        </w:rPr>
      </w:pPr>
      <w:r>
        <w:rPr>
          <w:sz w:val="20"/>
          <w:szCs w:val="20"/>
        </w:rPr>
        <w:t>In early-</w:t>
      </w:r>
      <w:r w:rsidR="00BF0C28">
        <w:rPr>
          <w:sz w:val="20"/>
          <w:szCs w:val="20"/>
        </w:rPr>
        <w:t xml:space="preserve">January 2016, the Department </w:t>
      </w:r>
      <w:r w:rsidR="0053543D">
        <w:rPr>
          <w:sz w:val="20"/>
          <w:szCs w:val="20"/>
        </w:rPr>
        <w:t>of Social Services (</w:t>
      </w:r>
      <w:r w:rsidR="00C01CE5">
        <w:rPr>
          <w:sz w:val="20"/>
          <w:szCs w:val="20"/>
        </w:rPr>
        <w:t>the Department</w:t>
      </w:r>
      <w:r w:rsidR="0053543D">
        <w:rPr>
          <w:sz w:val="20"/>
          <w:szCs w:val="20"/>
        </w:rPr>
        <w:t xml:space="preserve">) </w:t>
      </w:r>
      <w:r w:rsidR="00C01CE5">
        <w:rPr>
          <w:sz w:val="20"/>
          <w:szCs w:val="20"/>
        </w:rPr>
        <w:t xml:space="preserve">contacted ADEs that </w:t>
      </w:r>
      <w:r w:rsidR="00BF0C28">
        <w:rPr>
          <w:sz w:val="20"/>
          <w:szCs w:val="20"/>
        </w:rPr>
        <w:t xml:space="preserve">may not have </w:t>
      </w:r>
      <w:r w:rsidR="00C01CE5" w:rsidRPr="00C01CE5">
        <w:rPr>
          <w:sz w:val="20"/>
          <w:szCs w:val="20"/>
        </w:rPr>
        <w:t>transition</w:t>
      </w:r>
      <w:r w:rsidR="00C01CE5">
        <w:rPr>
          <w:sz w:val="20"/>
          <w:szCs w:val="20"/>
        </w:rPr>
        <w:t xml:space="preserve">ed </w:t>
      </w:r>
      <w:r w:rsidR="00BF0C28">
        <w:rPr>
          <w:sz w:val="20"/>
          <w:szCs w:val="20"/>
        </w:rPr>
        <w:t xml:space="preserve">from the BSWAT to request </w:t>
      </w:r>
      <w:r w:rsidR="00C01CE5">
        <w:rPr>
          <w:sz w:val="20"/>
          <w:szCs w:val="20"/>
        </w:rPr>
        <w:t>their</w:t>
      </w:r>
      <w:r w:rsidR="00C01CE5" w:rsidRPr="00C01CE5">
        <w:rPr>
          <w:sz w:val="20"/>
          <w:szCs w:val="20"/>
        </w:rPr>
        <w:t xml:space="preserve"> transition status</w:t>
      </w:r>
      <w:r w:rsidR="00BF0C28">
        <w:rPr>
          <w:sz w:val="20"/>
          <w:szCs w:val="20"/>
        </w:rPr>
        <w:t>;</w:t>
      </w:r>
      <w:r w:rsidR="00C01CE5" w:rsidRPr="00C01CE5">
        <w:rPr>
          <w:sz w:val="20"/>
          <w:szCs w:val="20"/>
        </w:rPr>
        <w:t xml:space="preserve"> and for those </w:t>
      </w:r>
      <w:r w:rsidR="00BF0C28">
        <w:rPr>
          <w:sz w:val="20"/>
          <w:szCs w:val="20"/>
        </w:rPr>
        <w:t xml:space="preserve">that have not completed </w:t>
      </w:r>
      <w:r w:rsidR="00BF0C28" w:rsidRPr="00C01CE5">
        <w:rPr>
          <w:sz w:val="20"/>
          <w:szCs w:val="20"/>
        </w:rPr>
        <w:t>transition</w:t>
      </w:r>
      <w:r w:rsidR="00C01CE5" w:rsidRPr="00C01CE5">
        <w:rPr>
          <w:sz w:val="20"/>
          <w:szCs w:val="20"/>
        </w:rPr>
        <w:t xml:space="preserve">, </w:t>
      </w:r>
      <w:r w:rsidR="00C01CE5">
        <w:rPr>
          <w:sz w:val="20"/>
          <w:szCs w:val="20"/>
        </w:rPr>
        <w:t xml:space="preserve">to forward the Department </w:t>
      </w:r>
      <w:r w:rsidR="00C01CE5" w:rsidRPr="00C01CE5">
        <w:rPr>
          <w:sz w:val="20"/>
          <w:szCs w:val="20"/>
        </w:rPr>
        <w:t xml:space="preserve">a </w:t>
      </w:r>
      <w:r w:rsidR="001F7A31">
        <w:rPr>
          <w:sz w:val="20"/>
          <w:szCs w:val="20"/>
        </w:rPr>
        <w:t>written plan. The</w:t>
      </w:r>
      <w:r w:rsidR="00C01CE5">
        <w:rPr>
          <w:sz w:val="20"/>
          <w:szCs w:val="20"/>
        </w:rPr>
        <w:t xml:space="preserve"> Department also informed ADEs</w:t>
      </w:r>
      <w:r w:rsidR="00C01CE5" w:rsidRPr="00C01CE5">
        <w:rPr>
          <w:sz w:val="20"/>
          <w:szCs w:val="20"/>
        </w:rPr>
        <w:t xml:space="preserve"> that </w:t>
      </w:r>
      <w:r w:rsidR="00BF0C28">
        <w:rPr>
          <w:sz w:val="20"/>
          <w:szCs w:val="20"/>
        </w:rPr>
        <w:t>they would</w:t>
      </w:r>
      <w:r w:rsidR="00C01CE5" w:rsidRPr="00C01CE5">
        <w:rPr>
          <w:sz w:val="20"/>
          <w:szCs w:val="20"/>
        </w:rPr>
        <w:t xml:space="preserve"> not receive wage transition grants until they fully transition.  </w:t>
      </w:r>
    </w:p>
    <w:p w:rsidR="00930E57" w:rsidRDefault="00930E57" w:rsidP="002A6E4E">
      <w:pPr>
        <w:rPr>
          <w:b/>
          <w:i/>
          <w:sz w:val="20"/>
          <w:szCs w:val="20"/>
        </w:rPr>
      </w:pPr>
      <w:r w:rsidRPr="00930E57">
        <w:rPr>
          <w:b/>
          <w:i/>
          <w:sz w:val="20"/>
          <w:szCs w:val="20"/>
        </w:rPr>
        <w:t>Applications to the Fair Work Commission for a further transitional period</w:t>
      </w:r>
    </w:p>
    <w:p w:rsidR="00930E57" w:rsidRPr="00930E57" w:rsidRDefault="00BF0C28" w:rsidP="002A6E4E">
      <w:pPr>
        <w:rPr>
          <w:b/>
          <w:i/>
          <w:sz w:val="20"/>
          <w:szCs w:val="20"/>
        </w:rPr>
      </w:pPr>
      <w:r>
        <w:rPr>
          <w:sz w:val="20"/>
          <w:szCs w:val="20"/>
        </w:rPr>
        <w:t>Since 18 December 2015, t</w:t>
      </w:r>
      <w:r w:rsidR="00930E57">
        <w:rPr>
          <w:sz w:val="20"/>
          <w:szCs w:val="20"/>
        </w:rPr>
        <w:t>he Department is not aware of any ADEs that have applied to the FWC</w:t>
      </w:r>
      <w:r w:rsidR="00930E57">
        <w:rPr>
          <w:b/>
          <w:i/>
          <w:sz w:val="20"/>
          <w:szCs w:val="20"/>
        </w:rPr>
        <w:t xml:space="preserve"> </w:t>
      </w:r>
      <w:r w:rsidR="00930E57" w:rsidRPr="00930E57">
        <w:rPr>
          <w:sz w:val="20"/>
          <w:szCs w:val="20"/>
        </w:rPr>
        <w:t>for a</w:t>
      </w:r>
      <w:r>
        <w:rPr>
          <w:sz w:val="20"/>
          <w:szCs w:val="20"/>
        </w:rPr>
        <w:t xml:space="preserve"> further transitional period</w:t>
      </w:r>
      <w:r w:rsidR="00930E57">
        <w:rPr>
          <w:sz w:val="20"/>
          <w:szCs w:val="20"/>
        </w:rPr>
        <w:t xml:space="preserve">.  </w:t>
      </w:r>
    </w:p>
    <w:p w:rsidR="002A6E4E" w:rsidRPr="00734B11" w:rsidRDefault="002A6E4E" w:rsidP="002A6E4E">
      <w:pPr>
        <w:rPr>
          <w:b/>
          <w:bCs/>
          <w:i/>
          <w:iCs/>
          <w:sz w:val="20"/>
          <w:szCs w:val="20"/>
        </w:rPr>
      </w:pPr>
      <w:r w:rsidRPr="00734B11">
        <w:rPr>
          <w:b/>
          <w:bCs/>
          <w:i/>
          <w:iCs/>
          <w:sz w:val="20"/>
          <w:szCs w:val="20"/>
        </w:rPr>
        <w:t>Organisation-level data:</w:t>
      </w:r>
      <w:r w:rsidRPr="00734B11">
        <w:rPr>
          <w:b/>
          <w:bCs/>
          <w:i/>
          <w:iCs/>
          <w:sz w:val="20"/>
          <w:szCs w:val="20"/>
          <w:vertAlign w:val="superscript"/>
        </w:rPr>
        <w:t xml:space="preserve"> </w:t>
      </w:r>
      <w:r w:rsidRPr="00734B11">
        <w:rPr>
          <w:b/>
          <w:bCs/>
          <w:i/>
          <w:iCs/>
          <w:sz w:val="20"/>
          <w:szCs w:val="20"/>
          <w:vertAlign w:val="superscript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722"/>
        <w:gridCol w:w="1721"/>
        <w:gridCol w:w="1721"/>
        <w:gridCol w:w="1721"/>
        <w:gridCol w:w="1721"/>
      </w:tblGrid>
      <w:tr w:rsidR="005D3601" w:rsidRPr="00C14722" w:rsidTr="005D3601">
        <w:trPr>
          <w:trHeight w:val="1504"/>
        </w:trPr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01" w:rsidRPr="00C14722" w:rsidRDefault="005D3601" w:rsidP="002A6E4E">
            <w:pPr>
              <w:rPr>
                <w:b/>
                <w:sz w:val="18"/>
                <w:szCs w:val="18"/>
              </w:rPr>
            </w:pPr>
            <w:r w:rsidRPr="00C14722">
              <w:rPr>
                <w:b/>
                <w:sz w:val="18"/>
                <w:szCs w:val="18"/>
              </w:rPr>
              <w:t>Report period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01" w:rsidRPr="00C14722" w:rsidRDefault="005D3601" w:rsidP="002A6E4E">
            <w:pPr>
              <w:rPr>
                <w:b/>
                <w:sz w:val="18"/>
                <w:szCs w:val="18"/>
              </w:rPr>
            </w:pPr>
            <w:r w:rsidRPr="00C14722">
              <w:rPr>
                <w:b/>
                <w:sz w:val="18"/>
                <w:szCs w:val="18"/>
              </w:rPr>
              <w:t>Number or organisations previously using BSWAT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01" w:rsidRPr="00C14722" w:rsidRDefault="005D3601" w:rsidP="002A6E4E">
            <w:pPr>
              <w:rPr>
                <w:b/>
                <w:sz w:val="18"/>
                <w:szCs w:val="18"/>
              </w:rPr>
            </w:pPr>
            <w:r w:rsidRPr="00C14722">
              <w:rPr>
                <w:b/>
                <w:sz w:val="18"/>
                <w:szCs w:val="18"/>
              </w:rPr>
              <w:t>Number of organisations with all workers using alternate tool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01" w:rsidRPr="00C14722" w:rsidRDefault="005D3601" w:rsidP="002A6E4E">
            <w:pPr>
              <w:rPr>
                <w:b/>
                <w:sz w:val="18"/>
                <w:szCs w:val="18"/>
              </w:rPr>
            </w:pPr>
            <w:r w:rsidRPr="00C14722">
              <w:rPr>
                <w:b/>
                <w:sz w:val="18"/>
                <w:szCs w:val="18"/>
              </w:rPr>
              <w:t>Number of organisations with alternative tool and completed some assessments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01" w:rsidRPr="00C14722" w:rsidRDefault="005D3601" w:rsidP="002A6E4E">
            <w:pPr>
              <w:rPr>
                <w:b/>
                <w:sz w:val="18"/>
                <w:szCs w:val="18"/>
              </w:rPr>
            </w:pPr>
            <w:r w:rsidRPr="00C14722">
              <w:rPr>
                <w:b/>
                <w:sz w:val="18"/>
                <w:szCs w:val="18"/>
              </w:rPr>
              <w:t>Number of organisations with alternative tool, but have not commenced assessments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3601" w:rsidRPr="00C14722" w:rsidRDefault="005D3601" w:rsidP="002A6E4E">
            <w:pPr>
              <w:rPr>
                <w:b/>
                <w:sz w:val="18"/>
                <w:szCs w:val="18"/>
              </w:rPr>
            </w:pPr>
            <w:r w:rsidRPr="00C14722">
              <w:rPr>
                <w:b/>
                <w:sz w:val="18"/>
                <w:szCs w:val="18"/>
              </w:rPr>
              <w:t>Number of organisations who have not identified an alternate tool</w:t>
            </w:r>
          </w:p>
        </w:tc>
      </w:tr>
      <w:tr w:rsidR="005D3601" w:rsidRPr="00C14722" w:rsidTr="005D3601">
        <w:trPr>
          <w:trHeight w:val="554"/>
        </w:trPr>
        <w:tc>
          <w:tcPr>
            <w:tcW w:w="68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01" w:rsidRPr="00C14722" w:rsidRDefault="005D3601" w:rsidP="008A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at 31 January 2016 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01" w:rsidRPr="00C14722" w:rsidRDefault="005D3601" w:rsidP="002A6E4E">
            <w:pPr>
              <w:rPr>
                <w:sz w:val="18"/>
                <w:szCs w:val="18"/>
              </w:rPr>
            </w:pPr>
            <w:r w:rsidRPr="00C14722">
              <w:rPr>
                <w:sz w:val="18"/>
                <w:szCs w:val="18"/>
              </w:rPr>
              <w:t>108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01" w:rsidRPr="00C14722" w:rsidRDefault="00714AC6" w:rsidP="002A6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01" w:rsidRPr="00C14722" w:rsidRDefault="00714AC6" w:rsidP="002A6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01" w:rsidRPr="00C14722" w:rsidRDefault="00AC1E02" w:rsidP="002A6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601" w:rsidRPr="00C14722" w:rsidRDefault="005D3601" w:rsidP="002A6E4E">
            <w:pPr>
              <w:rPr>
                <w:sz w:val="18"/>
                <w:szCs w:val="18"/>
              </w:rPr>
            </w:pPr>
            <w:r w:rsidRPr="00C14722">
              <w:rPr>
                <w:sz w:val="18"/>
                <w:szCs w:val="18"/>
              </w:rPr>
              <w:t>0</w:t>
            </w:r>
          </w:p>
        </w:tc>
      </w:tr>
    </w:tbl>
    <w:p w:rsidR="00BF0C28" w:rsidRDefault="00BF0C28" w:rsidP="002A6E4E">
      <w:pPr>
        <w:rPr>
          <w:b/>
          <w:bCs/>
          <w:i/>
          <w:iCs/>
          <w:sz w:val="20"/>
          <w:szCs w:val="20"/>
        </w:rPr>
      </w:pPr>
    </w:p>
    <w:p w:rsidR="002A6E4E" w:rsidRPr="00734B11" w:rsidRDefault="002A6E4E" w:rsidP="002A6E4E">
      <w:pPr>
        <w:rPr>
          <w:b/>
          <w:bCs/>
          <w:i/>
          <w:iCs/>
          <w:sz w:val="20"/>
          <w:szCs w:val="20"/>
        </w:rPr>
      </w:pPr>
      <w:r w:rsidRPr="00734B11">
        <w:rPr>
          <w:b/>
          <w:bCs/>
          <w:i/>
          <w:iCs/>
          <w:sz w:val="20"/>
          <w:szCs w:val="20"/>
        </w:rPr>
        <w:t>Supported employee-level data:</w:t>
      </w:r>
      <w:r w:rsidRPr="00734B11">
        <w:rPr>
          <w:b/>
          <w:bCs/>
          <w:i/>
          <w:iCs/>
          <w:sz w:val="20"/>
          <w:szCs w:val="20"/>
          <w:vertAlign w:val="superscript"/>
        </w:rPr>
        <w:t xml:space="preserve"> </w:t>
      </w:r>
      <w:r w:rsidR="006B3265">
        <w:rPr>
          <w:b/>
          <w:bCs/>
          <w:i/>
          <w:iCs/>
          <w:sz w:val="20"/>
          <w:szCs w:val="20"/>
          <w:vertAlign w:val="super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2476"/>
        <w:gridCol w:w="2056"/>
        <w:gridCol w:w="2157"/>
        <w:gridCol w:w="2180"/>
      </w:tblGrid>
      <w:tr w:rsidR="002A6E4E" w:rsidRPr="00123EF1" w:rsidTr="002A6E4E">
        <w:trPr>
          <w:trHeight w:val="932"/>
        </w:trPr>
        <w:tc>
          <w:tcPr>
            <w:tcW w:w="0" w:type="auto"/>
            <w:vAlign w:val="center"/>
          </w:tcPr>
          <w:p w:rsidR="002A6E4E" w:rsidRPr="00123EF1" w:rsidRDefault="002A6E4E" w:rsidP="002A6E4E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123EF1">
              <w:rPr>
                <w:b/>
                <w:sz w:val="18"/>
                <w:szCs w:val="18"/>
              </w:rPr>
              <w:t>Report period</w:t>
            </w:r>
          </w:p>
        </w:tc>
        <w:tc>
          <w:tcPr>
            <w:tcW w:w="0" w:type="auto"/>
            <w:vAlign w:val="center"/>
          </w:tcPr>
          <w:p w:rsidR="002A6E4E" w:rsidRPr="00123EF1" w:rsidRDefault="002A6E4E" w:rsidP="002A6E4E">
            <w:pPr>
              <w:rPr>
                <w:b/>
                <w:sz w:val="18"/>
                <w:szCs w:val="18"/>
              </w:rPr>
            </w:pPr>
            <w:r w:rsidRPr="00123EF1">
              <w:rPr>
                <w:b/>
                <w:sz w:val="18"/>
                <w:szCs w:val="18"/>
              </w:rPr>
              <w:t>Number of supported employees who work at an ADE that had previously used BSWAT</w:t>
            </w:r>
          </w:p>
        </w:tc>
        <w:tc>
          <w:tcPr>
            <w:tcW w:w="0" w:type="auto"/>
            <w:vAlign w:val="center"/>
          </w:tcPr>
          <w:p w:rsidR="002A6E4E" w:rsidRPr="00123EF1" w:rsidRDefault="002A6E4E" w:rsidP="002A6E4E">
            <w:pPr>
              <w:rPr>
                <w:b/>
                <w:sz w:val="18"/>
                <w:szCs w:val="18"/>
              </w:rPr>
            </w:pPr>
            <w:r w:rsidRPr="00123EF1">
              <w:rPr>
                <w:b/>
                <w:sz w:val="18"/>
                <w:szCs w:val="18"/>
              </w:rPr>
              <w:t>Number of supported employees assessed under alternate tool</w:t>
            </w:r>
          </w:p>
        </w:tc>
        <w:tc>
          <w:tcPr>
            <w:tcW w:w="0" w:type="auto"/>
            <w:vAlign w:val="center"/>
          </w:tcPr>
          <w:p w:rsidR="002A6E4E" w:rsidRPr="00123EF1" w:rsidRDefault="002A6E4E" w:rsidP="002A6E4E">
            <w:pPr>
              <w:rPr>
                <w:b/>
                <w:sz w:val="18"/>
                <w:szCs w:val="18"/>
              </w:rPr>
            </w:pPr>
            <w:r w:rsidRPr="00123EF1">
              <w:rPr>
                <w:b/>
                <w:sz w:val="18"/>
                <w:szCs w:val="18"/>
              </w:rPr>
              <w:t>Number of supported employees yet to be assessed by alternate tool</w:t>
            </w:r>
          </w:p>
        </w:tc>
        <w:tc>
          <w:tcPr>
            <w:tcW w:w="0" w:type="auto"/>
            <w:vAlign w:val="center"/>
          </w:tcPr>
          <w:p w:rsidR="002A6E4E" w:rsidRPr="00123EF1" w:rsidRDefault="002A6E4E" w:rsidP="002A6E4E">
            <w:pPr>
              <w:rPr>
                <w:b/>
                <w:sz w:val="18"/>
                <w:szCs w:val="18"/>
              </w:rPr>
            </w:pPr>
            <w:r w:rsidRPr="00123EF1">
              <w:rPr>
                <w:b/>
                <w:sz w:val="18"/>
                <w:szCs w:val="18"/>
              </w:rPr>
              <w:t>Percentage of employees who have transitioned to new wage tool</w:t>
            </w:r>
          </w:p>
        </w:tc>
      </w:tr>
      <w:tr w:rsidR="009B1A3A" w:rsidRPr="00123EF1" w:rsidTr="00C14722">
        <w:trPr>
          <w:trHeight w:val="809"/>
        </w:trPr>
        <w:tc>
          <w:tcPr>
            <w:tcW w:w="0" w:type="auto"/>
          </w:tcPr>
          <w:p w:rsidR="009B1A3A" w:rsidRPr="00123EF1" w:rsidRDefault="005D3601" w:rsidP="002A6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at 31 January 2016</w:t>
            </w:r>
          </w:p>
        </w:tc>
        <w:tc>
          <w:tcPr>
            <w:tcW w:w="0" w:type="auto"/>
            <w:shd w:val="clear" w:color="auto" w:fill="auto"/>
          </w:tcPr>
          <w:p w:rsidR="009B1A3A" w:rsidRPr="00123EF1" w:rsidRDefault="009B1A3A" w:rsidP="00805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805803">
              <w:rPr>
                <w:sz w:val="18"/>
                <w:szCs w:val="18"/>
              </w:rPr>
              <w:t>628</w:t>
            </w:r>
          </w:p>
        </w:tc>
        <w:tc>
          <w:tcPr>
            <w:tcW w:w="0" w:type="auto"/>
            <w:shd w:val="clear" w:color="auto" w:fill="auto"/>
          </w:tcPr>
          <w:p w:rsidR="009B1A3A" w:rsidRPr="00123EF1" w:rsidRDefault="003527A0" w:rsidP="00A91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8,216</w:t>
            </w:r>
          </w:p>
        </w:tc>
        <w:tc>
          <w:tcPr>
            <w:tcW w:w="0" w:type="auto"/>
            <w:shd w:val="clear" w:color="auto" w:fill="auto"/>
          </w:tcPr>
          <w:p w:rsidR="009B1A3A" w:rsidRPr="00123EF1" w:rsidRDefault="003527A0" w:rsidP="00A91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0" w:type="auto"/>
            <w:shd w:val="clear" w:color="auto" w:fill="auto"/>
          </w:tcPr>
          <w:p w:rsidR="009B1A3A" w:rsidRPr="00123EF1" w:rsidRDefault="003527A0" w:rsidP="002A6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  <w:r w:rsidR="00484502">
              <w:rPr>
                <w:sz w:val="18"/>
                <w:szCs w:val="18"/>
              </w:rPr>
              <w:t xml:space="preserve"> </w:t>
            </w:r>
            <w:r w:rsidR="00070C44">
              <w:rPr>
                <w:sz w:val="18"/>
                <w:szCs w:val="18"/>
              </w:rPr>
              <w:t xml:space="preserve">per cent </w:t>
            </w:r>
          </w:p>
        </w:tc>
      </w:tr>
    </w:tbl>
    <w:p w:rsidR="00E82836" w:rsidRDefault="00E82836" w:rsidP="002A6E4E"/>
    <w:p w:rsidR="00E82836" w:rsidRDefault="00E82836">
      <w:r>
        <w:br w:type="page"/>
      </w:r>
    </w:p>
    <w:p w:rsidR="008B6055" w:rsidRDefault="008B6055" w:rsidP="002A6E4E"/>
    <w:p w:rsidR="002A6E4E" w:rsidRPr="00734B11" w:rsidRDefault="002A6E4E" w:rsidP="002A6E4E">
      <w:pPr>
        <w:rPr>
          <w:b/>
          <w:bCs/>
          <w:i/>
          <w:iCs/>
          <w:sz w:val="20"/>
          <w:szCs w:val="20"/>
        </w:rPr>
      </w:pPr>
      <w:r w:rsidRPr="00734B11">
        <w:rPr>
          <w:b/>
          <w:bCs/>
          <w:i/>
          <w:iCs/>
          <w:sz w:val="20"/>
          <w:szCs w:val="20"/>
        </w:rPr>
        <w:t>Further analysis of supported employee-level data:</w:t>
      </w:r>
      <w:r w:rsidRPr="00734B11">
        <w:rPr>
          <w:b/>
          <w:bCs/>
          <w:i/>
          <w:iCs/>
          <w:sz w:val="20"/>
          <w:szCs w:val="20"/>
          <w:vertAlign w:val="superscript"/>
        </w:rPr>
        <w:t xml:space="preserve"> </w:t>
      </w:r>
      <w:r w:rsidRPr="00734B11">
        <w:rPr>
          <w:b/>
          <w:bCs/>
          <w:i/>
          <w:iCs/>
          <w:sz w:val="20"/>
          <w:szCs w:val="20"/>
          <w:vertAlign w:val="superscript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1943"/>
        <w:gridCol w:w="1691"/>
        <w:gridCol w:w="2639"/>
        <w:gridCol w:w="2691"/>
      </w:tblGrid>
      <w:tr w:rsidR="002A6E4E" w:rsidRPr="00123EF1" w:rsidTr="002A6E4E">
        <w:tc>
          <w:tcPr>
            <w:tcW w:w="0" w:type="auto"/>
            <w:vAlign w:val="center"/>
          </w:tcPr>
          <w:p w:rsidR="002A6E4E" w:rsidRPr="00123EF1" w:rsidRDefault="002A6E4E" w:rsidP="002A6E4E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123EF1">
              <w:rPr>
                <w:b/>
                <w:sz w:val="18"/>
                <w:szCs w:val="18"/>
              </w:rPr>
              <w:t>Report period</w:t>
            </w:r>
          </w:p>
        </w:tc>
        <w:tc>
          <w:tcPr>
            <w:tcW w:w="0" w:type="auto"/>
            <w:vAlign w:val="center"/>
          </w:tcPr>
          <w:p w:rsidR="002A6E4E" w:rsidRPr="00123EF1" w:rsidRDefault="002A6E4E" w:rsidP="002A6E4E">
            <w:pPr>
              <w:rPr>
                <w:b/>
                <w:sz w:val="18"/>
                <w:szCs w:val="18"/>
              </w:rPr>
            </w:pPr>
            <w:r w:rsidRPr="00123EF1">
              <w:rPr>
                <w:b/>
                <w:sz w:val="18"/>
                <w:szCs w:val="18"/>
              </w:rPr>
              <w:t>Number of supported employees who work at an ADE that had previously used BSWAT</w:t>
            </w:r>
          </w:p>
        </w:tc>
        <w:tc>
          <w:tcPr>
            <w:tcW w:w="0" w:type="auto"/>
            <w:vAlign w:val="center"/>
          </w:tcPr>
          <w:p w:rsidR="002A6E4E" w:rsidRPr="00123EF1" w:rsidRDefault="002A6E4E" w:rsidP="002A6E4E">
            <w:pPr>
              <w:rPr>
                <w:b/>
                <w:sz w:val="18"/>
                <w:szCs w:val="18"/>
              </w:rPr>
            </w:pPr>
            <w:r w:rsidRPr="00123EF1">
              <w:rPr>
                <w:b/>
                <w:sz w:val="18"/>
                <w:szCs w:val="18"/>
              </w:rPr>
              <w:t>Number of supported employees assessed under alternate tool</w:t>
            </w:r>
          </w:p>
        </w:tc>
        <w:tc>
          <w:tcPr>
            <w:tcW w:w="0" w:type="auto"/>
            <w:vAlign w:val="center"/>
          </w:tcPr>
          <w:p w:rsidR="002A6E4E" w:rsidRPr="00123EF1" w:rsidRDefault="002A6E4E" w:rsidP="002A6E4E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123EF1">
              <w:rPr>
                <w:b/>
                <w:sz w:val="18"/>
                <w:szCs w:val="18"/>
              </w:rPr>
              <w:t>Number of supported employees yet to be assessed by alternate tool, where organisation has commenced assessments on alternate tool</w:t>
            </w:r>
          </w:p>
        </w:tc>
        <w:tc>
          <w:tcPr>
            <w:tcW w:w="0" w:type="auto"/>
            <w:vAlign w:val="center"/>
          </w:tcPr>
          <w:p w:rsidR="002A6E4E" w:rsidRPr="00123EF1" w:rsidRDefault="002A6E4E" w:rsidP="002A6E4E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123EF1">
              <w:rPr>
                <w:b/>
                <w:sz w:val="18"/>
                <w:szCs w:val="18"/>
              </w:rPr>
              <w:t>Number of supported employees yet to be assessed by alternate tool, where organisation has NOT commenced assessments on alternate tool</w:t>
            </w:r>
          </w:p>
        </w:tc>
      </w:tr>
      <w:tr w:rsidR="00A91FCC" w:rsidRPr="00123EF1" w:rsidTr="002A6E4E">
        <w:tc>
          <w:tcPr>
            <w:tcW w:w="0" w:type="auto"/>
          </w:tcPr>
          <w:p w:rsidR="00A91FCC" w:rsidRPr="00123EF1" w:rsidRDefault="005D3601" w:rsidP="008A0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at 31 January 2016</w:t>
            </w:r>
          </w:p>
        </w:tc>
        <w:tc>
          <w:tcPr>
            <w:tcW w:w="0" w:type="auto"/>
            <w:shd w:val="clear" w:color="auto" w:fill="auto"/>
          </w:tcPr>
          <w:p w:rsidR="00A91FCC" w:rsidRPr="00123EF1" w:rsidRDefault="00A91FCC" w:rsidP="008058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  <w:r w:rsidR="00805803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B6055" w:rsidRPr="00123EF1" w:rsidRDefault="003527A0" w:rsidP="003527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8,216</w:t>
            </w:r>
          </w:p>
        </w:tc>
        <w:tc>
          <w:tcPr>
            <w:tcW w:w="0" w:type="auto"/>
            <w:shd w:val="clear" w:color="auto" w:fill="auto"/>
          </w:tcPr>
          <w:p w:rsidR="008B6055" w:rsidRPr="00123EF1" w:rsidRDefault="003527A0" w:rsidP="00802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0" w:type="auto"/>
            <w:shd w:val="clear" w:color="auto" w:fill="auto"/>
          </w:tcPr>
          <w:p w:rsidR="008B6055" w:rsidRPr="00123EF1" w:rsidRDefault="005D3601" w:rsidP="002A6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A6E4E" w:rsidRPr="002A6E4E" w:rsidRDefault="002A6E4E" w:rsidP="002A6E4E"/>
    <w:sectPr w:rsidR="002A6E4E" w:rsidRPr="002A6E4E" w:rsidSect="00E82836">
      <w:footerReference w:type="default" r:id="rId7"/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4E" w:rsidRDefault="002A6E4E" w:rsidP="002A6E4E">
      <w:pPr>
        <w:spacing w:after="0" w:line="240" w:lineRule="auto"/>
      </w:pPr>
      <w:r>
        <w:separator/>
      </w:r>
    </w:p>
  </w:endnote>
  <w:endnote w:type="continuationSeparator" w:id="0">
    <w:p w:rsidR="002A6E4E" w:rsidRDefault="002A6E4E" w:rsidP="002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36" w:rsidRPr="00CD5324" w:rsidRDefault="00E82836">
    <w:pPr>
      <w:pStyle w:val="Footer"/>
      <w:rPr>
        <w:sz w:val="20"/>
        <w:szCs w:val="20"/>
      </w:rPr>
    </w:pPr>
    <w:r w:rsidRPr="00CD5324">
      <w:rPr>
        <w:sz w:val="20"/>
        <w:szCs w:val="20"/>
      </w:rPr>
      <w:t>38916218-1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4E" w:rsidRDefault="002A6E4E" w:rsidP="002A6E4E">
      <w:pPr>
        <w:spacing w:after="0" w:line="240" w:lineRule="auto"/>
      </w:pPr>
      <w:r>
        <w:separator/>
      </w:r>
    </w:p>
  </w:footnote>
  <w:footnote w:type="continuationSeparator" w:id="0">
    <w:p w:rsidR="002A6E4E" w:rsidRDefault="002A6E4E" w:rsidP="002A6E4E">
      <w:pPr>
        <w:spacing w:after="0" w:line="240" w:lineRule="auto"/>
      </w:pPr>
      <w:r>
        <w:continuationSeparator/>
      </w:r>
    </w:p>
  </w:footnote>
  <w:footnote w:id="1">
    <w:p w:rsidR="002A6E4E" w:rsidRPr="0006784A" w:rsidRDefault="002A6E4E" w:rsidP="002A6E4E">
      <w:pPr>
        <w:pStyle w:val="FootnoteText"/>
        <w:rPr>
          <w:sz w:val="16"/>
          <w:szCs w:val="16"/>
        </w:rPr>
      </w:pPr>
      <w:r w:rsidRPr="00CB63AA">
        <w:rPr>
          <w:rStyle w:val="FootnoteReference"/>
        </w:rPr>
        <w:footnoteRef/>
      </w:r>
      <w:r w:rsidRPr="00CB63AA">
        <w:rPr>
          <w:rStyle w:val="FootnoteReference"/>
        </w:rPr>
        <w:t xml:space="preserve"> </w:t>
      </w:r>
      <w:r w:rsidRPr="0006784A">
        <w:rPr>
          <w:sz w:val="16"/>
          <w:szCs w:val="16"/>
        </w:rPr>
        <w:t>This data has been reported by o</w:t>
      </w:r>
      <w:r w:rsidR="00070C44">
        <w:rPr>
          <w:sz w:val="16"/>
          <w:szCs w:val="16"/>
        </w:rPr>
        <w:t>rganisations to the Department</w:t>
      </w:r>
    </w:p>
  </w:footnote>
  <w:footnote w:id="2">
    <w:p w:rsidR="002A6E4E" w:rsidRDefault="002A6E4E" w:rsidP="002A6E4E">
      <w:pPr>
        <w:pStyle w:val="FootnoteText"/>
      </w:pPr>
      <w:r w:rsidRPr="00CB63AA">
        <w:rPr>
          <w:rStyle w:val="FootnoteReference"/>
        </w:rPr>
        <w:footnoteRef/>
      </w:r>
      <w:r w:rsidRPr="00CB63AA">
        <w:rPr>
          <w:rStyle w:val="FootnoteReference"/>
        </w:rPr>
        <w:t xml:space="preserve"> </w:t>
      </w:r>
      <w:r w:rsidRPr="0006784A">
        <w:rPr>
          <w:sz w:val="16"/>
          <w:szCs w:val="16"/>
        </w:rPr>
        <w:t xml:space="preserve">This data has been reported by </w:t>
      </w:r>
      <w:r w:rsidR="00070C44">
        <w:rPr>
          <w:sz w:val="16"/>
          <w:szCs w:val="16"/>
        </w:rPr>
        <w:t>organisations to the Department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AD" w:rsidRPr="00C519AD" w:rsidRDefault="008E66AA">
    <w:pPr>
      <w:pStyle w:val="Header"/>
      <w:rPr>
        <w:b/>
      </w:rPr>
    </w:pPr>
    <w:r>
      <w:rPr>
        <w:b/>
      </w:rPr>
      <w:tab/>
      <w:t xml:space="preserve"> </w:t>
    </w:r>
    <w:r>
      <w:rPr>
        <w:b/>
      </w:rPr>
      <w:tab/>
    </w:r>
    <w:r w:rsidR="005D3601">
      <w:rPr>
        <w:b/>
      </w:rPr>
      <w:t>A</w:t>
    </w:r>
    <w:r w:rsidR="005D3601" w:rsidRPr="005D3601">
      <w:rPr>
        <w:b/>
      </w:rPr>
      <w:t>s at 31 January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4E"/>
    <w:rsid w:val="00070C44"/>
    <w:rsid w:val="00080342"/>
    <w:rsid w:val="000B5AC6"/>
    <w:rsid w:val="00123EF1"/>
    <w:rsid w:val="001779E7"/>
    <w:rsid w:val="001E630D"/>
    <w:rsid w:val="001F7A31"/>
    <w:rsid w:val="002A6E4E"/>
    <w:rsid w:val="00315A5E"/>
    <w:rsid w:val="003527A0"/>
    <w:rsid w:val="003B2BB8"/>
    <w:rsid w:val="003D34FF"/>
    <w:rsid w:val="00461D1B"/>
    <w:rsid w:val="00484502"/>
    <w:rsid w:val="00485AC2"/>
    <w:rsid w:val="004B54CA"/>
    <w:rsid w:val="004E5CBF"/>
    <w:rsid w:val="0053543D"/>
    <w:rsid w:val="005378AA"/>
    <w:rsid w:val="00582EBC"/>
    <w:rsid w:val="005C3AA9"/>
    <w:rsid w:val="005D017C"/>
    <w:rsid w:val="005D3601"/>
    <w:rsid w:val="006A4CE7"/>
    <w:rsid w:val="006B3265"/>
    <w:rsid w:val="006B5276"/>
    <w:rsid w:val="00714AC6"/>
    <w:rsid w:val="00734B11"/>
    <w:rsid w:val="00782114"/>
    <w:rsid w:val="00785261"/>
    <w:rsid w:val="007B0256"/>
    <w:rsid w:val="00805803"/>
    <w:rsid w:val="008213AD"/>
    <w:rsid w:val="008A02F0"/>
    <w:rsid w:val="008B6055"/>
    <w:rsid w:val="008E2128"/>
    <w:rsid w:val="008E66AA"/>
    <w:rsid w:val="009225F0"/>
    <w:rsid w:val="00930E57"/>
    <w:rsid w:val="00990D07"/>
    <w:rsid w:val="00992454"/>
    <w:rsid w:val="009B1A3A"/>
    <w:rsid w:val="009E0764"/>
    <w:rsid w:val="00A67218"/>
    <w:rsid w:val="00A91FCC"/>
    <w:rsid w:val="00AC1E02"/>
    <w:rsid w:val="00AF06B6"/>
    <w:rsid w:val="00BA2DB9"/>
    <w:rsid w:val="00BE7148"/>
    <w:rsid w:val="00BF081B"/>
    <w:rsid w:val="00BF0C28"/>
    <w:rsid w:val="00C01CE5"/>
    <w:rsid w:val="00C14722"/>
    <w:rsid w:val="00CD5324"/>
    <w:rsid w:val="00D660D9"/>
    <w:rsid w:val="00E374A6"/>
    <w:rsid w:val="00E82836"/>
    <w:rsid w:val="00EE4E20"/>
    <w:rsid w:val="00F13856"/>
    <w:rsid w:val="00F7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17579-55C1-4477-80F5-2BA080A4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2A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6E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E4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6E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A6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4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E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3E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E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HARVEY, Ngaire</dc:creator>
  <cp:lastModifiedBy>Chantal Tanner</cp:lastModifiedBy>
  <cp:revision>2</cp:revision>
  <cp:lastPrinted>2016-02-08T23:42:00Z</cp:lastPrinted>
  <dcterms:created xsi:type="dcterms:W3CDTF">2016-03-23T03:41:00Z</dcterms:created>
  <dcterms:modified xsi:type="dcterms:W3CDTF">2016-03-23T03:41:00Z</dcterms:modified>
</cp:coreProperties>
</file>