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3E7" w:rsidRPr="003B3A91" w:rsidRDefault="003B13E7" w:rsidP="003B3A91">
      <w:pPr>
        <w:pStyle w:val="SubmissionNormal"/>
        <w:tabs>
          <w:tab w:val="clear" w:pos="720"/>
          <w:tab w:val="left" w:pos="7069"/>
        </w:tabs>
        <w:rPr>
          <w:b/>
          <w:color w:val="auto"/>
          <w:szCs w:val="24"/>
          <w:lang w:eastAsia="en-AU"/>
        </w:rPr>
      </w:pPr>
      <w:r w:rsidRPr="003B3A91">
        <w:rPr>
          <w:b/>
          <w:color w:val="auto"/>
          <w:szCs w:val="24"/>
          <w:lang w:eastAsia="en-AU"/>
        </w:rPr>
        <w:t>AUSTRALIAN HUMAN RIGHTS COMMISSION</w:t>
      </w:r>
      <w:r w:rsidRPr="003B3A91">
        <w:rPr>
          <w:b/>
          <w:color w:val="auto"/>
          <w:szCs w:val="24"/>
          <w:lang w:eastAsia="en-AU"/>
        </w:rPr>
        <w:br/>
      </w:r>
      <w:r w:rsidRPr="00270509">
        <w:rPr>
          <w:b/>
          <w:i/>
          <w:color w:val="auto"/>
          <w:szCs w:val="24"/>
          <w:lang w:eastAsia="en-AU"/>
        </w:rPr>
        <w:t>DISABILITY DISCRIMINATION ACT 1992</w:t>
      </w:r>
      <w:r w:rsidRPr="003B3A91">
        <w:rPr>
          <w:b/>
          <w:color w:val="auto"/>
          <w:szCs w:val="24"/>
          <w:lang w:eastAsia="en-AU"/>
        </w:rPr>
        <w:t xml:space="preserve"> (CTH), s 55(1) </w:t>
      </w:r>
      <w:r w:rsidRPr="003B3A91">
        <w:rPr>
          <w:b/>
          <w:color w:val="auto"/>
          <w:szCs w:val="24"/>
          <w:lang w:eastAsia="en-AU"/>
        </w:rPr>
        <w:br/>
        <w:t>NOTICE OF GRANT OF EXEMPTION</w:t>
      </w:r>
    </w:p>
    <w:p w:rsidR="00270509" w:rsidRPr="00270509" w:rsidRDefault="00270509" w:rsidP="00270509">
      <w:pPr>
        <w:pStyle w:val="Heading1"/>
        <w:numPr>
          <w:ilvl w:val="0"/>
          <w:numId w:val="0"/>
        </w:numPr>
      </w:pPr>
      <w:r w:rsidRPr="00270509">
        <w:t>Exemption</w:t>
      </w:r>
    </w:p>
    <w:p w:rsidR="00C92F9D" w:rsidRDefault="003B13E7" w:rsidP="00FB148B">
      <w:pPr>
        <w:pStyle w:val="SubmissionNormal"/>
        <w:tabs>
          <w:tab w:val="clear" w:pos="720"/>
        </w:tabs>
        <w:rPr>
          <w:color w:val="auto"/>
          <w:szCs w:val="24"/>
          <w:lang w:eastAsia="en-AU"/>
        </w:rPr>
      </w:pPr>
      <w:r w:rsidRPr="002A469C">
        <w:rPr>
          <w:color w:val="auto"/>
          <w:szCs w:val="24"/>
          <w:lang w:eastAsia="en-AU"/>
        </w:rPr>
        <w:t xml:space="preserve">By this instrument, </w:t>
      </w:r>
      <w:r w:rsidR="00F00241">
        <w:rPr>
          <w:color w:val="auto"/>
          <w:szCs w:val="24"/>
          <w:lang w:eastAsia="en-AU"/>
        </w:rPr>
        <w:t>pursuant to</w:t>
      </w:r>
      <w:r w:rsidRPr="002A469C">
        <w:rPr>
          <w:color w:val="auto"/>
          <w:szCs w:val="24"/>
          <w:lang w:eastAsia="en-AU"/>
        </w:rPr>
        <w:t xml:space="preserve"> section 55(1) of the </w:t>
      </w:r>
      <w:r w:rsidRPr="00846B13">
        <w:rPr>
          <w:i/>
          <w:color w:val="auto"/>
          <w:szCs w:val="24"/>
          <w:lang w:eastAsia="en-AU"/>
        </w:rPr>
        <w:t>Disability Discrimination Act 1992</w:t>
      </w:r>
      <w:r w:rsidRPr="002A469C">
        <w:rPr>
          <w:color w:val="auto"/>
          <w:szCs w:val="24"/>
          <w:lang w:eastAsia="en-AU"/>
        </w:rPr>
        <w:t xml:space="preserve"> (Cth) (Disability Discrimination Act), the Australian Human Rights Commission</w:t>
      </w:r>
      <w:r w:rsidR="007D0DD4">
        <w:rPr>
          <w:color w:val="auto"/>
          <w:szCs w:val="24"/>
          <w:lang w:eastAsia="en-AU"/>
        </w:rPr>
        <w:t xml:space="preserve"> (Commission)</w:t>
      </w:r>
      <w:r w:rsidRPr="002A469C">
        <w:rPr>
          <w:color w:val="auto"/>
          <w:szCs w:val="24"/>
          <w:lang w:eastAsia="en-AU"/>
        </w:rPr>
        <w:t xml:space="preserve"> grants </w:t>
      </w:r>
      <w:r w:rsidR="00382B62" w:rsidRPr="002A469C">
        <w:rPr>
          <w:color w:val="auto"/>
          <w:szCs w:val="24"/>
          <w:lang w:eastAsia="en-AU"/>
        </w:rPr>
        <w:t xml:space="preserve">an exemption from the operation of sections 15, 24 and 29 of the Disability Discrimination Act </w:t>
      </w:r>
      <w:r w:rsidRPr="002A469C">
        <w:rPr>
          <w:color w:val="auto"/>
          <w:szCs w:val="24"/>
          <w:lang w:eastAsia="en-AU"/>
        </w:rPr>
        <w:t>to</w:t>
      </w:r>
      <w:r w:rsidR="00FB148B" w:rsidRPr="00FB148B">
        <w:rPr>
          <w:color w:val="auto"/>
          <w:szCs w:val="24"/>
          <w:lang w:eastAsia="en-AU"/>
        </w:rPr>
        <w:t xml:space="preserve"> </w:t>
      </w:r>
      <w:r w:rsidR="00FB148B">
        <w:rPr>
          <w:color w:val="auto"/>
          <w:szCs w:val="24"/>
          <w:lang w:eastAsia="en-AU"/>
        </w:rPr>
        <w:t xml:space="preserve">the following </w:t>
      </w:r>
      <w:r w:rsidR="00FB148B" w:rsidRPr="002A469C">
        <w:rPr>
          <w:color w:val="auto"/>
          <w:szCs w:val="24"/>
          <w:lang w:eastAsia="en-AU"/>
        </w:rPr>
        <w:t>Australian Disability Enterprises (ADEs)</w:t>
      </w:r>
      <w:r w:rsidR="00FB148B">
        <w:rPr>
          <w:color w:val="auto"/>
          <w:szCs w:val="24"/>
          <w:lang w:eastAsia="en-AU"/>
        </w:rPr>
        <w:t>:</w:t>
      </w:r>
    </w:p>
    <w:p w:rsidR="00974B2A" w:rsidRDefault="00974B2A" w:rsidP="00FB148B">
      <w:pPr>
        <w:pStyle w:val="SubmissionNormal"/>
        <w:numPr>
          <w:ilvl w:val="0"/>
          <w:numId w:val="30"/>
        </w:numPr>
        <w:rPr>
          <w:color w:val="auto"/>
          <w:szCs w:val="24"/>
          <w:lang w:eastAsia="en-AU"/>
        </w:rPr>
      </w:pPr>
      <w:r w:rsidRPr="00974B2A">
        <w:rPr>
          <w:color w:val="auto"/>
          <w:szCs w:val="24"/>
          <w:lang w:eastAsia="en-AU"/>
        </w:rPr>
        <w:t>Jiffy Services</w:t>
      </w:r>
      <w:r>
        <w:rPr>
          <w:color w:val="auto"/>
          <w:szCs w:val="24"/>
          <w:lang w:eastAsia="en-AU"/>
        </w:rPr>
        <w:t>;</w:t>
      </w:r>
      <w:r w:rsidRPr="00974B2A">
        <w:rPr>
          <w:color w:val="auto"/>
          <w:szCs w:val="24"/>
          <w:lang w:eastAsia="en-AU"/>
        </w:rPr>
        <w:t xml:space="preserve"> and </w:t>
      </w:r>
    </w:p>
    <w:p w:rsidR="00974B2A" w:rsidRDefault="00974B2A" w:rsidP="00FB148B">
      <w:pPr>
        <w:pStyle w:val="SubmissionNormal"/>
        <w:numPr>
          <w:ilvl w:val="0"/>
          <w:numId w:val="30"/>
        </w:numPr>
        <w:rPr>
          <w:color w:val="auto"/>
          <w:szCs w:val="24"/>
          <w:lang w:eastAsia="en-AU"/>
        </w:rPr>
      </w:pPr>
      <w:r w:rsidRPr="00974B2A">
        <w:rPr>
          <w:color w:val="auto"/>
          <w:szCs w:val="24"/>
          <w:lang w:eastAsia="en-AU"/>
        </w:rPr>
        <w:t xml:space="preserve">Tasmanian Association of Disabled Persons </w:t>
      </w:r>
      <w:r w:rsidR="00B30C16">
        <w:rPr>
          <w:color w:val="auto"/>
          <w:szCs w:val="24"/>
          <w:lang w:eastAsia="en-AU"/>
        </w:rPr>
        <w:t>Abilities Centre</w:t>
      </w:r>
      <w:r w:rsidR="00FB148B">
        <w:rPr>
          <w:color w:val="auto"/>
          <w:szCs w:val="24"/>
          <w:lang w:eastAsia="en-AU"/>
        </w:rPr>
        <w:t>,</w:t>
      </w:r>
    </w:p>
    <w:p w:rsidR="002668F0" w:rsidRDefault="00840F01" w:rsidP="002668F0">
      <w:pPr>
        <w:pStyle w:val="SubmissionNormal"/>
        <w:tabs>
          <w:tab w:val="clear" w:pos="720"/>
        </w:tabs>
        <w:ind w:left="720"/>
        <w:rPr>
          <w:color w:val="auto"/>
          <w:szCs w:val="24"/>
          <w:lang w:eastAsia="en-AU"/>
        </w:rPr>
      </w:pPr>
      <w:r>
        <w:rPr>
          <w:color w:val="auto"/>
          <w:szCs w:val="24"/>
          <w:lang w:eastAsia="en-AU"/>
        </w:rPr>
        <w:t>if at any stage</w:t>
      </w:r>
      <w:r w:rsidR="00FB148B">
        <w:rPr>
          <w:color w:val="auto"/>
          <w:szCs w:val="24"/>
          <w:lang w:eastAsia="en-AU"/>
        </w:rPr>
        <w:t>,</w:t>
      </w:r>
      <w:r>
        <w:rPr>
          <w:color w:val="auto"/>
          <w:szCs w:val="24"/>
          <w:lang w:eastAsia="en-AU"/>
        </w:rPr>
        <w:t xml:space="preserve"> </w:t>
      </w:r>
      <w:r w:rsidR="002668F0" w:rsidRPr="002A469C">
        <w:rPr>
          <w:color w:val="auto"/>
          <w:szCs w:val="24"/>
          <w:lang w:eastAsia="en-AU"/>
        </w:rPr>
        <w:t xml:space="preserve">the Fair Work Commission </w:t>
      </w:r>
      <w:r w:rsidR="002668F0">
        <w:rPr>
          <w:color w:val="auto"/>
          <w:szCs w:val="24"/>
          <w:lang w:eastAsia="en-AU"/>
        </w:rPr>
        <w:t>grants that ADE</w:t>
      </w:r>
      <w:r w:rsidR="002668F0" w:rsidRPr="002A469C">
        <w:rPr>
          <w:color w:val="auto"/>
          <w:szCs w:val="24"/>
          <w:lang w:eastAsia="en-AU"/>
        </w:rPr>
        <w:t xml:space="preserve"> a further transitional period pursuant to clause 14.6 of the Supported Employment Services Award 2010</w:t>
      </w:r>
      <w:r w:rsidR="002668F0">
        <w:rPr>
          <w:color w:val="auto"/>
          <w:szCs w:val="24"/>
          <w:lang w:eastAsia="en-AU"/>
        </w:rPr>
        <w:t>,</w:t>
      </w:r>
    </w:p>
    <w:p w:rsidR="003B13E7" w:rsidRPr="002A469C" w:rsidRDefault="003B13E7" w:rsidP="002668F0">
      <w:pPr>
        <w:pStyle w:val="SubmissionNormal"/>
        <w:tabs>
          <w:tab w:val="clear" w:pos="720"/>
        </w:tabs>
        <w:rPr>
          <w:color w:val="auto"/>
          <w:szCs w:val="24"/>
          <w:lang w:eastAsia="en-AU"/>
        </w:rPr>
      </w:pPr>
      <w:r w:rsidRPr="002A469C">
        <w:rPr>
          <w:color w:val="auto"/>
          <w:szCs w:val="24"/>
          <w:lang w:eastAsia="en-AU"/>
        </w:rPr>
        <w:t>in the following terms:</w:t>
      </w:r>
    </w:p>
    <w:p w:rsidR="003B13E7" w:rsidRPr="002A469C" w:rsidRDefault="005057E9" w:rsidP="00270509">
      <w:pPr>
        <w:pStyle w:val="Heading2"/>
        <w:numPr>
          <w:ilvl w:val="0"/>
          <w:numId w:val="0"/>
        </w:numPr>
      </w:pPr>
      <w:r w:rsidRPr="002A469C">
        <w:t>Period of exemption</w:t>
      </w:r>
    </w:p>
    <w:p w:rsidR="003B13E7" w:rsidRPr="002A469C" w:rsidRDefault="003B13E7" w:rsidP="00974B2A">
      <w:pPr>
        <w:pStyle w:val="SubmissionNormal"/>
        <w:numPr>
          <w:ilvl w:val="0"/>
          <w:numId w:val="15"/>
        </w:numPr>
      </w:pPr>
      <w:r w:rsidRPr="002A469C">
        <w:t>T</w:t>
      </w:r>
      <w:r w:rsidR="00974B2A">
        <w:t xml:space="preserve">he term of the exemption is </w:t>
      </w:r>
      <w:r w:rsidR="00F7404D" w:rsidRPr="002A469C">
        <w:t>f</w:t>
      </w:r>
      <w:r w:rsidRPr="002A469C">
        <w:t xml:space="preserve">rom the date of </w:t>
      </w:r>
      <w:r w:rsidR="00495AC6">
        <w:t>this instrument</w:t>
      </w:r>
      <w:r w:rsidR="00F7404D" w:rsidRPr="002A469C">
        <w:t xml:space="preserve"> until </w:t>
      </w:r>
      <w:r w:rsidR="004706F7" w:rsidRPr="002A469C">
        <w:t xml:space="preserve">the expiration of </w:t>
      </w:r>
      <w:r w:rsidR="00974B2A">
        <w:t>any</w:t>
      </w:r>
      <w:r w:rsidR="00B57297" w:rsidRPr="002A469C">
        <w:t xml:space="preserve"> further</w:t>
      </w:r>
      <w:r w:rsidR="004706F7" w:rsidRPr="002A469C">
        <w:t xml:space="preserve"> transitional</w:t>
      </w:r>
      <w:r w:rsidR="00B57297" w:rsidRPr="002A469C">
        <w:t xml:space="preserve"> period</w:t>
      </w:r>
      <w:r w:rsidR="00974B2A">
        <w:t xml:space="preserve"> granted to the ADE by the Fair Work Commission </w:t>
      </w:r>
      <w:r w:rsidR="00974B2A" w:rsidRPr="002A469C">
        <w:rPr>
          <w:color w:val="auto"/>
          <w:szCs w:val="24"/>
          <w:lang w:eastAsia="en-AU"/>
        </w:rPr>
        <w:t>pursuant to clause 14.6 of the Supported Employment Services Award 2010</w:t>
      </w:r>
      <w:r w:rsidR="00974B2A">
        <w:t>.</w:t>
      </w:r>
    </w:p>
    <w:p w:rsidR="003B13E7" w:rsidRPr="002A469C" w:rsidRDefault="003B13E7" w:rsidP="00270509">
      <w:pPr>
        <w:pStyle w:val="Heading2"/>
        <w:numPr>
          <w:ilvl w:val="0"/>
          <w:numId w:val="0"/>
        </w:numPr>
      </w:pPr>
      <w:r w:rsidRPr="002A469C">
        <w:t>Conditions</w:t>
      </w:r>
    </w:p>
    <w:p w:rsidR="003B13E7" w:rsidRPr="002A469C" w:rsidRDefault="0041693B" w:rsidP="00314A99">
      <w:pPr>
        <w:pStyle w:val="SubmissionNormal"/>
        <w:keepNext/>
        <w:numPr>
          <w:ilvl w:val="0"/>
          <w:numId w:val="15"/>
        </w:numPr>
        <w:ind w:left="714" w:hanging="357"/>
        <w:rPr>
          <w:color w:val="auto"/>
          <w:szCs w:val="24"/>
          <w:lang w:eastAsia="en-AU"/>
        </w:rPr>
      </w:pPr>
      <w:r w:rsidRPr="002A469C">
        <w:rPr>
          <w:color w:val="auto"/>
          <w:szCs w:val="24"/>
          <w:lang w:eastAsia="en-AU"/>
        </w:rPr>
        <w:t>It is a condition of the exemption that e</w:t>
      </w:r>
      <w:r w:rsidR="005057E9" w:rsidRPr="002A469C">
        <w:rPr>
          <w:color w:val="auto"/>
          <w:szCs w:val="24"/>
          <w:lang w:eastAsia="en-AU"/>
        </w:rPr>
        <w:t>ach</w:t>
      </w:r>
      <w:r w:rsidR="003B13E7" w:rsidRPr="002A469C">
        <w:rPr>
          <w:color w:val="auto"/>
          <w:szCs w:val="24"/>
          <w:lang w:eastAsia="en-AU"/>
        </w:rPr>
        <w:t xml:space="preserve"> ADE </w:t>
      </w:r>
      <w:r w:rsidR="00F00241">
        <w:rPr>
          <w:color w:val="auto"/>
          <w:szCs w:val="24"/>
          <w:lang w:eastAsia="en-AU"/>
        </w:rPr>
        <w:t>to which this exemption applies:</w:t>
      </w:r>
    </w:p>
    <w:p w:rsidR="003B13E7" w:rsidRPr="002A469C" w:rsidRDefault="003B13E7" w:rsidP="009A3315">
      <w:pPr>
        <w:pStyle w:val="SubmissionNormal"/>
        <w:numPr>
          <w:ilvl w:val="1"/>
          <w:numId w:val="15"/>
        </w:numPr>
        <w:rPr>
          <w:color w:val="auto"/>
          <w:szCs w:val="24"/>
          <w:lang w:eastAsia="en-AU"/>
        </w:rPr>
      </w:pPr>
      <w:r w:rsidRPr="002A469C">
        <w:rPr>
          <w:color w:val="auto"/>
          <w:szCs w:val="24"/>
          <w:lang w:eastAsia="en-AU"/>
        </w:rPr>
        <w:t>Take all necessary steps to transition from the BSWAT to the Supported Wage System, or an alternative tool approved by the Fair Work Commission, as quickly as possible</w:t>
      </w:r>
      <w:r w:rsidR="005057E9" w:rsidRPr="002A469C">
        <w:rPr>
          <w:color w:val="auto"/>
          <w:szCs w:val="24"/>
          <w:lang w:eastAsia="en-AU"/>
        </w:rPr>
        <w:t>.</w:t>
      </w:r>
    </w:p>
    <w:p w:rsidR="005057E9" w:rsidRPr="002A469C" w:rsidRDefault="005057E9" w:rsidP="009A3315">
      <w:pPr>
        <w:pStyle w:val="SubmissionNormal"/>
        <w:numPr>
          <w:ilvl w:val="1"/>
          <w:numId w:val="15"/>
        </w:numPr>
        <w:rPr>
          <w:color w:val="auto"/>
          <w:szCs w:val="24"/>
          <w:lang w:eastAsia="en-AU"/>
        </w:rPr>
      </w:pPr>
      <w:r w:rsidRPr="002A469C">
        <w:rPr>
          <w:color w:val="auto"/>
          <w:szCs w:val="24"/>
          <w:lang w:eastAsia="en-AU"/>
        </w:rPr>
        <w:t>Advise the Commission upon the filing of any application for a further transitional period pursuant to clause 14.6(b)(ii) of the Supported Employment Services Award 2010</w:t>
      </w:r>
      <w:r w:rsidR="00E7474D">
        <w:rPr>
          <w:color w:val="auto"/>
          <w:szCs w:val="24"/>
          <w:lang w:eastAsia="en-AU"/>
        </w:rPr>
        <w:t>.</w:t>
      </w:r>
    </w:p>
    <w:p w:rsidR="005057E9" w:rsidRPr="002A469C" w:rsidRDefault="005057E9" w:rsidP="009A3315">
      <w:pPr>
        <w:pStyle w:val="SubmissionNormal"/>
        <w:numPr>
          <w:ilvl w:val="1"/>
          <w:numId w:val="15"/>
        </w:numPr>
        <w:rPr>
          <w:color w:val="auto"/>
          <w:szCs w:val="24"/>
          <w:lang w:eastAsia="en-AU"/>
        </w:rPr>
      </w:pPr>
      <w:r w:rsidRPr="002A469C">
        <w:rPr>
          <w:color w:val="auto"/>
          <w:szCs w:val="24"/>
          <w:lang w:eastAsia="en-AU"/>
        </w:rPr>
        <w:t>Advise the Commission of the outcome of any such application.</w:t>
      </w:r>
    </w:p>
    <w:p w:rsidR="003B13E7" w:rsidRPr="002A469C" w:rsidRDefault="003B13E7" w:rsidP="009A3315">
      <w:pPr>
        <w:pStyle w:val="SubmissionNormal"/>
        <w:numPr>
          <w:ilvl w:val="1"/>
          <w:numId w:val="15"/>
        </w:numPr>
        <w:rPr>
          <w:color w:val="auto"/>
          <w:szCs w:val="24"/>
          <w:lang w:eastAsia="en-AU"/>
        </w:rPr>
      </w:pPr>
      <w:r w:rsidRPr="002A469C">
        <w:rPr>
          <w:color w:val="auto"/>
          <w:szCs w:val="24"/>
          <w:lang w:eastAsia="en-AU"/>
        </w:rPr>
        <w:t>Provide such informati</w:t>
      </w:r>
      <w:r w:rsidR="00667FC1" w:rsidRPr="002A469C">
        <w:rPr>
          <w:color w:val="auto"/>
          <w:szCs w:val="24"/>
          <w:lang w:eastAsia="en-AU"/>
        </w:rPr>
        <w:t xml:space="preserve">on </w:t>
      </w:r>
      <w:r w:rsidRPr="002A469C">
        <w:rPr>
          <w:color w:val="auto"/>
          <w:szCs w:val="24"/>
          <w:lang w:eastAsia="en-AU"/>
        </w:rPr>
        <w:t xml:space="preserve">to the </w:t>
      </w:r>
      <w:r w:rsidR="00CD21E2" w:rsidRPr="002A469C">
        <w:rPr>
          <w:color w:val="auto"/>
          <w:szCs w:val="24"/>
          <w:lang w:eastAsia="en-AU"/>
        </w:rPr>
        <w:t>Commonwealth</w:t>
      </w:r>
      <w:r w:rsidRPr="002A469C">
        <w:rPr>
          <w:color w:val="auto"/>
          <w:szCs w:val="24"/>
          <w:lang w:eastAsia="en-AU"/>
        </w:rPr>
        <w:t xml:space="preserve"> to enable it to accurately and effectively </w:t>
      </w:r>
      <w:r w:rsidR="00667FC1" w:rsidRPr="002A469C">
        <w:rPr>
          <w:color w:val="auto"/>
          <w:szCs w:val="24"/>
          <w:lang w:eastAsia="en-AU"/>
        </w:rPr>
        <w:t xml:space="preserve">report to the Commission as required under </w:t>
      </w:r>
      <w:r w:rsidR="00495AC6">
        <w:rPr>
          <w:color w:val="auto"/>
          <w:szCs w:val="24"/>
          <w:lang w:eastAsia="en-AU"/>
        </w:rPr>
        <w:t xml:space="preserve">the conditions of the exemption granted </w:t>
      </w:r>
      <w:r w:rsidR="00630E71">
        <w:rPr>
          <w:color w:val="auto"/>
          <w:szCs w:val="24"/>
          <w:lang w:eastAsia="en-AU"/>
        </w:rPr>
        <w:t xml:space="preserve">by the Commission on </w:t>
      </w:r>
      <w:r w:rsidR="006064C4">
        <w:rPr>
          <w:color w:val="auto"/>
          <w:szCs w:val="24"/>
          <w:lang w:eastAsia="en-AU"/>
        </w:rPr>
        <w:t>18 December 2015</w:t>
      </w:r>
      <w:r w:rsidR="00492F3D">
        <w:rPr>
          <w:color w:val="auto"/>
          <w:szCs w:val="24"/>
          <w:lang w:eastAsia="en-AU"/>
        </w:rPr>
        <w:t>, attached as Annexure A.</w:t>
      </w:r>
    </w:p>
    <w:p w:rsidR="00F7404D" w:rsidRPr="002A469C" w:rsidRDefault="007C47D7" w:rsidP="009A3315">
      <w:pPr>
        <w:pStyle w:val="SubmissionNormal"/>
        <w:numPr>
          <w:ilvl w:val="1"/>
          <w:numId w:val="15"/>
        </w:numPr>
        <w:rPr>
          <w:color w:val="auto"/>
          <w:szCs w:val="24"/>
          <w:lang w:eastAsia="en-AU"/>
        </w:rPr>
      </w:pPr>
      <w:r>
        <w:rPr>
          <w:color w:val="auto"/>
          <w:szCs w:val="24"/>
          <w:lang w:eastAsia="en-AU"/>
        </w:rPr>
        <w:t>Be compliant</w:t>
      </w:r>
      <w:r w:rsidR="00F7404D" w:rsidRPr="002A469C">
        <w:rPr>
          <w:color w:val="auto"/>
          <w:szCs w:val="24"/>
          <w:lang w:eastAsia="en-AU"/>
        </w:rPr>
        <w:t xml:space="preserve"> with any order of the Fair Work Commission</w:t>
      </w:r>
      <w:r w:rsidR="009D2E14" w:rsidRPr="002A469C">
        <w:rPr>
          <w:color w:val="auto"/>
          <w:szCs w:val="24"/>
          <w:lang w:eastAsia="en-AU"/>
        </w:rPr>
        <w:t xml:space="preserve"> in relation to the use of the BSWAT</w:t>
      </w:r>
      <w:r w:rsidR="00F7404D" w:rsidRPr="002A469C">
        <w:rPr>
          <w:color w:val="auto"/>
          <w:szCs w:val="24"/>
          <w:lang w:eastAsia="en-AU"/>
        </w:rPr>
        <w:t>.</w:t>
      </w:r>
    </w:p>
    <w:p w:rsidR="00D479CE" w:rsidRDefault="00D479CE" w:rsidP="009A3315">
      <w:pPr>
        <w:pStyle w:val="SubmissionNormal"/>
        <w:numPr>
          <w:ilvl w:val="1"/>
          <w:numId w:val="15"/>
        </w:numPr>
        <w:rPr>
          <w:color w:val="auto"/>
          <w:szCs w:val="24"/>
          <w:lang w:eastAsia="en-AU"/>
        </w:rPr>
      </w:pPr>
      <w:r w:rsidRPr="002A469C">
        <w:rPr>
          <w:color w:val="auto"/>
          <w:szCs w:val="24"/>
          <w:lang w:eastAsia="en-AU"/>
        </w:rPr>
        <w:lastRenderedPageBreak/>
        <w:t xml:space="preserve">Give consideration to ensuring that no disadvantage is suffered by </w:t>
      </w:r>
      <w:r w:rsidR="00571AA3">
        <w:rPr>
          <w:color w:val="auto"/>
          <w:szCs w:val="24"/>
          <w:lang w:eastAsia="en-AU"/>
        </w:rPr>
        <w:t>any supported employee</w:t>
      </w:r>
      <w:r w:rsidRPr="002A469C">
        <w:rPr>
          <w:color w:val="auto"/>
          <w:szCs w:val="24"/>
          <w:lang w:eastAsia="en-AU"/>
        </w:rPr>
        <w:t xml:space="preserve"> whose wages may be reduced as a result of the application of the Supported Wage System or alternative tool.</w:t>
      </w:r>
    </w:p>
    <w:p w:rsidR="0044155D" w:rsidRDefault="0044155D" w:rsidP="0044155D">
      <w:pPr>
        <w:keepNext/>
        <w:ind w:left="360"/>
      </w:pPr>
      <w:r w:rsidRPr="002A469C">
        <w:t xml:space="preserve">Dated this </w:t>
      </w:r>
      <w:r w:rsidR="00974B2A">
        <w:t>22</w:t>
      </w:r>
      <w:r w:rsidR="00974B2A" w:rsidRPr="00974B2A">
        <w:rPr>
          <w:vertAlign w:val="superscript"/>
        </w:rPr>
        <w:t>nd</w:t>
      </w:r>
      <w:r w:rsidR="00974B2A">
        <w:t xml:space="preserve"> </w:t>
      </w:r>
      <w:r w:rsidRPr="002A469C">
        <w:t xml:space="preserve"> day of December</w:t>
      </w:r>
      <w:r>
        <w:t xml:space="preserve"> 2015</w:t>
      </w:r>
    </w:p>
    <w:p w:rsidR="0044155D" w:rsidRDefault="0044155D" w:rsidP="0044155D">
      <w:pPr>
        <w:keepNext/>
        <w:ind w:left="360"/>
      </w:pPr>
      <w:r w:rsidRPr="0044155D">
        <w:rPr>
          <w:noProof/>
          <w:lang w:eastAsia="en-AU"/>
        </w:rPr>
        <w:drawing>
          <wp:inline distT="0" distB="0" distL="0" distR="0" wp14:anchorId="0722D5F6" wp14:editId="5E76E28E">
            <wp:extent cx="2012950" cy="1187450"/>
            <wp:effectExtent l="0" t="0" r="6350" b="0"/>
            <wp:docPr id="3" name="Picture 3" descr="I:\Admin\#Gillian's signature\Gillian's electronic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min\#Gillian's signature\Gillian's electronic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0" cy="1187450"/>
                    </a:xfrm>
                    <a:prstGeom prst="rect">
                      <a:avLst/>
                    </a:prstGeom>
                    <a:noFill/>
                    <a:ln>
                      <a:noFill/>
                    </a:ln>
                  </pic:spPr>
                </pic:pic>
              </a:graphicData>
            </a:graphic>
          </wp:inline>
        </w:drawing>
      </w:r>
    </w:p>
    <w:p w:rsidR="0044155D" w:rsidRPr="002A469C" w:rsidRDefault="0044155D" w:rsidP="0044155D">
      <w:pPr>
        <w:keepNext/>
        <w:ind w:left="360"/>
      </w:pPr>
      <w:r w:rsidRPr="002A469C">
        <w:t xml:space="preserve">Signed by the President, Professor Gillian Triggs, </w:t>
      </w:r>
      <w:r w:rsidRPr="002A469C">
        <w:br/>
        <w:t>on behalf of the Commission.</w:t>
      </w:r>
    </w:p>
    <w:p w:rsidR="0044155D" w:rsidRPr="002A469C" w:rsidRDefault="0044155D" w:rsidP="0044155D">
      <w:pPr>
        <w:pStyle w:val="SubmissionNormal"/>
        <w:tabs>
          <w:tab w:val="clear" w:pos="720"/>
        </w:tabs>
        <w:rPr>
          <w:color w:val="auto"/>
          <w:szCs w:val="24"/>
          <w:lang w:eastAsia="en-AU"/>
        </w:rPr>
      </w:pPr>
    </w:p>
    <w:p w:rsidR="00270509" w:rsidRDefault="00270509" w:rsidP="00270509">
      <w:pPr>
        <w:pStyle w:val="Title"/>
        <w:pageBreakBefore/>
      </w:pPr>
      <w:r>
        <w:lastRenderedPageBreak/>
        <w:t>Reasons for Decision</w:t>
      </w:r>
    </w:p>
    <w:p w:rsidR="003B13E7" w:rsidRPr="002A469C" w:rsidRDefault="003B13E7" w:rsidP="00270509">
      <w:pPr>
        <w:pStyle w:val="Heading1"/>
      </w:pPr>
      <w:r w:rsidRPr="002A469C">
        <w:t>Background</w:t>
      </w:r>
    </w:p>
    <w:p w:rsidR="003B13E7" w:rsidRPr="002A469C" w:rsidRDefault="003B13E7" w:rsidP="001C1239">
      <w:pPr>
        <w:pStyle w:val="SubmissionNormal"/>
        <w:numPr>
          <w:ilvl w:val="0"/>
          <w:numId w:val="25"/>
        </w:numPr>
        <w:ind w:left="1134" w:hanging="774"/>
      </w:pPr>
      <w:r w:rsidRPr="002A469C">
        <w:t xml:space="preserve">On 29 April 2014, the </w:t>
      </w:r>
      <w:r w:rsidR="009E7E90">
        <w:t xml:space="preserve">Australian Human Rights </w:t>
      </w:r>
      <w:r w:rsidRPr="002A469C">
        <w:t>Commission</w:t>
      </w:r>
      <w:r w:rsidR="009E7E90">
        <w:t xml:space="preserve"> (Commission)</w:t>
      </w:r>
      <w:r w:rsidRPr="002A469C">
        <w:t xml:space="preserve"> granted </w:t>
      </w:r>
      <w:r w:rsidR="00E7474D" w:rsidRPr="008424A6">
        <w:rPr>
          <w:color w:val="auto"/>
          <w:szCs w:val="24"/>
          <w:lang w:eastAsia="en-AU"/>
        </w:rPr>
        <w:t xml:space="preserve">to the Commonwealth and all Australian Disability Enterprises (ADEs) using </w:t>
      </w:r>
      <w:r w:rsidR="00E7474D">
        <w:rPr>
          <w:color w:val="auto"/>
          <w:szCs w:val="24"/>
          <w:lang w:eastAsia="en-AU"/>
        </w:rPr>
        <w:t xml:space="preserve">or proposing to use </w:t>
      </w:r>
      <w:r w:rsidR="00E7474D" w:rsidRPr="008424A6">
        <w:rPr>
          <w:color w:val="auto"/>
          <w:szCs w:val="24"/>
          <w:lang w:eastAsia="en-AU"/>
        </w:rPr>
        <w:t xml:space="preserve">the Business Services Wage Assessment </w:t>
      </w:r>
      <w:r w:rsidR="00131D9D">
        <w:rPr>
          <w:color w:val="auto"/>
          <w:szCs w:val="24"/>
          <w:lang w:eastAsia="en-AU"/>
        </w:rPr>
        <w:t>T</w:t>
      </w:r>
      <w:r w:rsidR="00131D9D" w:rsidRPr="008424A6">
        <w:rPr>
          <w:color w:val="auto"/>
          <w:szCs w:val="24"/>
          <w:lang w:eastAsia="en-AU"/>
        </w:rPr>
        <w:t>ool</w:t>
      </w:r>
      <w:r w:rsidR="00131D9D">
        <w:rPr>
          <w:color w:val="auto"/>
          <w:szCs w:val="24"/>
          <w:lang w:eastAsia="en-AU"/>
        </w:rPr>
        <w:t xml:space="preserve"> </w:t>
      </w:r>
      <w:r w:rsidR="00C71C01">
        <w:rPr>
          <w:color w:val="auto"/>
          <w:szCs w:val="24"/>
          <w:lang w:eastAsia="en-AU"/>
        </w:rPr>
        <w:t>(BSWAT)</w:t>
      </w:r>
      <w:r w:rsidR="00E7474D">
        <w:rPr>
          <w:color w:val="auto"/>
          <w:szCs w:val="24"/>
          <w:lang w:eastAsia="en-AU"/>
        </w:rPr>
        <w:t>,</w:t>
      </w:r>
      <w:r w:rsidR="00E7474D" w:rsidRPr="008424A6">
        <w:rPr>
          <w:color w:val="auto"/>
          <w:szCs w:val="24"/>
          <w:lang w:eastAsia="en-AU"/>
        </w:rPr>
        <w:t xml:space="preserve"> </w:t>
      </w:r>
      <w:r w:rsidRPr="002A469C">
        <w:t xml:space="preserve">an exemption from the </w:t>
      </w:r>
      <w:r w:rsidRPr="002A469C">
        <w:rPr>
          <w:color w:val="auto"/>
          <w:szCs w:val="24"/>
          <w:lang w:eastAsia="en-AU"/>
        </w:rPr>
        <w:t>operation</w:t>
      </w:r>
      <w:r w:rsidRPr="002A469C">
        <w:t xml:space="preserve"> of sections 15, 24 and 29 of the</w:t>
      </w:r>
      <w:r w:rsidR="009E7E90">
        <w:t xml:space="preserve"> </w:t>
      </w:r>
      <w:r w:rsidR="009E7E90">
        <w:rPr>
          <w:i/>
        </w:rPr>
        <w:t xml:space="preserve">Disability Discrimination Act 1992 </w:t>
      </w:r>
      <w:r w:rsidR="009E7E90">
        <w:t>(Cth)</w:t>
      </w:r>
      <w:r w:rsidRPr="002A469C">
        <w:t xml:space="preserve"> </w:t>
      </w:r>
      <w:r w:rsidR="009E7E90">
        <w:t>(</w:t>
      </w:r>
      <w:r w:rsidRPr="002A469C">
        <w:t>Disability Discrimination Act</w:t>
      </w:r>
      <w:r w:rsidR="009E7E90">
        <w:t>)</w:t>
      </w:r>
      <w:r w:rsidRPr="002A469C">
        <w:t xml:space="preserve"> (Original Exemption). The decision granting this exemption is available on the Commission website at </w:t>
      </w:r>
      <w:hyperlink r:id="rId9" w:history="1">
        <w:r w:rsidRPr="002A469C">
          <w:rPr>
            <w:rStyle w:val="Hyperlink"/>
          </w:rPr>
          <w:t>http://www.humanrights.gov.au/department-social-services-dss</w:t>
        </w:r>
      </w:hyperlink>
      <w:r w:rsidRPr="002A469C">
        <w:t xml:space="preserve">. </w:t>
      </w:r>
    </w:p>
    <w:p w:rsidR="003B13E7" w:rsidRPr="002A469C" w:rsidRDefault="003B13E7" w:rsidP="001C1239">
      <w:pPr>
        <w:pStyle w:val="SubmissionNormal"/>
        <w:numPr>
          <w:ilvl w:val="0"/>
          <w:numId w:val="25"/>
        </w:numPr>
        <w:ind w:left="1094" w:hanging="737"/>
        <w:rPr>
          <w:color w:val="auto"/>
          <w:szCs w:val="24"/>
          <w:lang w:eastAsia="en-AU"/>
        </w:rPr>
      </w:pPr>
      <w:r w:rsidRPr="002A469C">
        <w:rPr>
          <w:color w:val="auto"/>
          <w:szCs w:val="24"/>
          <w:lang w:eastAsia="en-AU"/>
        </w:rPr>
        <w:t xml:space="preserve">The </w:t>
      </w:r>
      <w:r w:rsidR="009E7E90">
        <w:rPr>
          <w:color w:val="auto"/>
          <w:szCs w:val="24"/>
          <w:lang w:eastAsia="en-AU"/>
        </w:rPr>
        <w:t>Original Exemption</w:t>
      </w:r>
      <w:r w:rsidR="009E7E90" w:rsidRPr="002A469C">
        <w:rPr>
          <w:color w:val="auto"/>
          <w:szCs w:val="24"/>
          <w:lang w:eastAsia="en-AU"/>
        </w:rPr>
        <w:t xml:space="preserve"> </w:t>
      </w:r>
      <w:r w:rsidRPr="002A469C">
        <w:rPr>
          <w:color w:val="auto"/>
          <w:szCs w:val="24"/>
          <w:lang w:eastAsia="en-AU"/>
        </w:rPr>
        <w:t>granted on 29 April 2014 expired on 29 April 2015.</w:t>
      </w:r>
    </w:p>
    <w:p w:rsidR="003B13E7" w:rsidRPr="002A469C" w:rsidRDefault="003B13E7" w:rsidP="001C1239">
      <w:pPr>
        <w:pStyle w:val="SubmissionNormal"/>
        <w:numPr>
          <w:ilvl w:val="0"/>
          <w:numId w:val="25"/>
        </w:numPr>
        <w:ind w:left="1094" w:hanging="737"/>
        <w:rPr>
          <w:color w:val="auto"/>
          <w:szCs w:val="24"/>
          <w:lang w:eastAsia="en-AU"/>
        </w:rPr>
      </w:pPr>
      <w:r w:rsidRPr="002A469C">
        <w:rPr>
          <w:color w:val="auto"/>
          <w:szCs w:val="24"/>
          <w:lang w:eastAsia="en-AU"/>
        </w:rPr>
        <w:t xml:space="preserve">On 21 April 2015 the </w:t>
      </w:r>
      <w:r w:rsidR="00B462AD">
        <w:rPr>
          <w:color w:val="auto"/>
          <w:szCs w:val="24"/>
          <w:lang w:eastAsia="en-AU"/>
        </w:rPr>
        <w:t>Commonwealth</w:t>
      </w:r>
      <w:r w:rsidR="00762F3C" w:rsidRPr="002A469C">
        <w:rPr>
          <w:color w:val="auto"/>
          <w:szCs w:val="24"/>
          <w:lang w:eastAsia="en-AU"/>
        </w:rPr>
        <w:t xml:space="preserve"> </w:t>
      </w:r>
      <w:r w:rsidRPr="002A469C">
        <w:rPr>
          <w:color w:val="auto"/>
          <w:szCs w:val="24"/>
          <w:lang w:eastAsia="en-AU"/>
        </w:rPr>
        <w:t>applied</w:t>
      </w:r>
      <w:r w:rsidR="00B462AD">
        <w:rPr>
          <w:color w:val="auto"/>
          <w:szCs w:val="24"/>
          <w:lang w:eastAsia="en-AU"/>
        </w:rPr>
        <w:t xml:space="preserve">, on its own </w:t>
      </w:r>
      <w:r w:rsidR="008E798D">
        <w:rPr>
          <w:color w:val="auto"/>
          <w:szCs w:val="24"/>
          <w:lang w:eastAsia="en-AU"/>
        </w:rPr>
        <w:t>behalf</w:t>
      </w:r>
      <w:r w:rsidR="00B462AD">
        <w:rPr>
          <w:color w:val="auto"/>
          <w:szCs w:val="24"/>
          <w:lang w:eastAsia="en-AU"/>
        </w:rPr>
        <w:t xml:space="preserve"> and </w:t>
      </w:r>
      <w:r w:rsidR="00E7474D">
        <w:rPr>
          <w:color w:val="auto"/>
          <w:szCs w:val="24"/>
          <w:lang w:eastAsia="en-AU"/>
        </w:rPr>
        <w:t xml:space="preserve">on behalf </w:t>
      </w:r>
      <w:r w:rsidR="00B462AD">
        <w:rPr>
          <w:color w:val="auto"/>
          <w:szCs w:val="24"/>
          <w:lang w:eastAsia="en-AU"/>
        </w:rPr>
        <w:t xml:space="preserve">of </w:t>
      </w:r>
      <w:r w:rsidR="00E7474D">
        <w:rPr>
          <w:color w:val="auto"/>
          <w:szCs w:val="24"/>
          <w:lang w:eastAsia="en-AU"/>
        </w:rPr>
        <w:t>all ADEs</w:t>
      </w:r>
      <w:r w:rsidR="00B462AD">
        <w:rPr>
          <w:color w:val="auto"/>
          <w:szCs w:val="24"/>
          <w:lang w:eastAsia="en-AU"/>
        </w:rPr>
        <w:t>,</w:t>
      </w:r>
      <w:r w:rsidR="00E7474D" w:rsidRPr="002A469C">
        <w:rPr>
          <w:color w:val="auto"/>
          <w:szCs w:val="24"/>
          <w:lang w:eastAsia="en-AU"/>
        </w:rPr>
        <w:t xml:space="preserve"> </w:t>
      </w:r>
      <w:r w:rsidRPr="002A469C">
        <w:rPr>
          <w:color w:val="auto"/>
          <w:szCs w:val="24"/>
          <w:lang w:eastAsia="en-AU"/>
        </w:rPr>
        <w:t>for a temporary exemption</w:t>
      </w:r>
      <w:r w:rsidR="00E7474D">
        <w:rPr>
          <w:color w:val="auto"/>
          <w:szCs w:val="24"/>
          <w:lang w:eastAsia="en-AU"/>
        </w:rPr>
        <w:t xml:space="preserve"> </w:t>
      </w:r>
      <w:r w:rsidRPr="002A469C">
        <w:rPr>
          <w:color w:val="auto"/>
          <w:szCs w:val="24"/>
          <w:lang w:eastAsia="en-AU"/>
        </w:rPr>
        <w:t xml:space="preserve">for </w:t>
      </w:r>
      <w:r w:rsidR="00DF442D" w:rsidRPr="002A469C">
        <w:rPr>
          <w:color w:val="auto"/>
          <w:szCs w:val="24"/>
          <w:lang w:eastAsia="en-AU"/>
        </w:rPr>
        <w:t xml:space="preserve">a further </w:t>
      </w:r>
      <w:r w:rsidRPr="002A469C">
        <w:rPr>
          <w:color w:val="auto"/>
          <w:szCs w:val="24"/>
          <w:lang w:eastAsia="en-AU"/>
        </w:rPr>
        <w:t xml:space="preserve">12 months to ensure the transition from the use of BSWAT to an alternative tool approved by the Fair </w:t>
      </w:r>
      <w:r w:rsidR="00762F3C" w:rsidRPr="002A469C">
        <w:rPr>
          <w:color w:val="auto"/>
          <w:szCs w:val="24"/>
          <w:lang w:eastAsia="en-AU"/>
        </w:rPr>
        <w:t>Work Commission</w:t>
      </w:r>
      <w:r w:rsidRPr="002A469C">
        <w:rPr>
          <w:color w:val="auto"/>
          <w:szCs w:val="24"/>
          <w:lang w:eastAsia="en-AU"/>
        </w:rPr>
        <w:t xml:space="preserve"> is able to continue in an orderly manner and to provide reassurance to people with disability working in ADEs and their families and carers (Application).</w:t>
      </w:r>
    </w:p>
    <w:p w:rsidR="00F51016" w:rsidRPr="002A469C" w:rsidRDefault="00F51016" w:rsidP="00F51016">
      <w:pPr>
        <w:pStyle w:val="SubmissionNormal"/>
        <w:numPr>
          <w:ilvl w:val="0"/>
          <w:numId w:val="25"/>
        </w:numPr>
        <w:ind w:left="1094" w:hanging="737"/>
        <w:rPr>
          <w:color w:val="auto"/>
          <w:szCs w:val="24"/>
          <w:lang w:eastAsia="en-AU"/>
        </w:rPr>
      </w:pPr>
      <w:r w:rsidRPr="002A469C">
        <w:rPr>
          <w:color w:val="auto"/>
          <w:szCs w:val="24"/>
          <w:lang w:eastAsia="en-AU"/>
        </w:rPr>
        <w:t xml:space="preserve">On 21 April 2015 the Commission advised the Commonwealth that it would not be possible to make a decision on the Application by 29 April 2015 and that once the </w:t>
      </w:r>
      <w:r w:rsidR="00B462AD">
        <w:rPr>
          <w:color w:val="auto"/>
          <w:szCs w:val="24"/>
          <w:lang w:eastAsia="en-AU"/>
        </w:rPr>
        <w:t>Original</w:t>
      </w:r>
      <w:r w:rsidRPr="002A469C">
        <w:rPr>
          <w:color w:val="auto"/>
          <w:szCs w:val="24"/>
          <w:lang w:eastAsia="en-AU"/>
        </w:rPr>
        <w:t xml:space="preserve"> </w:t>
      </w:r>
      <w:r w:rsidR="00B462AD" w:rsidRPr="002A469C">
        <w:rPr>
          <w:color w:val="auto"/>
          <w:szCs w:val="24"/>
          <w:lang w:eastAsia="en-AU"/>
        </w:rPr>
        <w:t xml:space="preserve">Exemption </w:t>
      </w:r>
      <w:r w:rsidRPr="002A469C">
        <w:rPr>
          <w:color w:val="auto"/>
          <w:szCs w:val="24"/>
          <w:lang w:eastAsia="en-AU"/>
        </w:rPr>
        <w:t>expired, there would be no exemption in place.</w:t>
      </w:r>
    </w:p>
    <w:p w:rsidR="00F51016" w:rsidRPr="002A469C" w:rsidRDefault="00F51016" w:rsidP="00F51016">
      <w:pPr>
        <w:pStyle w:val="SubmissionNormal"/>
        <w:numPr>
          <w:ilvl w:val="0"/>
          <w:numId w:val="25"/>
        </w:numPr>
        <w:ind w:left="1094" w:hanging="737"/>
        <w:rPr>
          <w:color w:val="auto"/>
          <w:szCs w:val="24"/>
          <w:lang w:eastAsia="en-AU"/>
        </w:rPr>
      </w:pPr>
      <w:r w:rsidRPr="002A469C">
        <w:rPr>
          <w:color w:val="auto"/>
          <w:szCs w:val="24"/>
          <w:lang w:eastAsia="en-AU"/>
        </w:rPr>
        <w:t xml:space="preserve">On 22 April 2015 the </w:t>
      </w:r>
      <w:r w:rsidR="00B462AD">
        <w:rPr>
          <w:color w:val="auto"/>
          <w:szCs w:val="24"/>
          <w:lang w:eastAsia="en-AU"/>
        </w:rPr>
        <w:t>Commonwealth</w:t>
      </w:r>
      <w:r w:rsidRPr="002A469C">
        <w:rPr>
          <w:color w:val="auto"/>
          <w:szCs w:val="24"/>
          <w:lang w:eastAsia="en-AU"/>
        </w:rPr>
        <w:t xml:space="preserve"> made an application for an interim exemption for the period between the expiry of the Original Exemption on 29 April 2015 and ‘the date on which the Commission publishes its determination in relation to the application of 21 April 2015’ (Interim Application).</w:t>
      </w:r>
    </w:p>
    <w:p w:rsidR="00F51016" w:rsidRPr="002A469C" w:rsidRDefault="00F51016" w:rsidP="00F51016">
      <w:pPr>
        <w:pStyle w:val="SubmissionNormal"/>
        <w:numPr>
          <w:ilvl w:val="0"/>
          <w:numId w:val="25"/>
        </w:numPr>
        <w:ind w:left="1094" w:hanging="737"/>
        <w:rPr>
          <w:color w:val="auto"/>
          <w:szCs w:val="24"/>
          <w:lang w:eastAsia="en-AU"/>
        </w:rPr>
      </w:pPr>
      <w:r w:rsidRPr="002A469C">
        <w:rPr>
          <w:color w:val="auto"/>
          <w:szCs w:val="24"/>
          <w:lang w:eastAsia="en-AU"/>
        </w:rPr>
        <w:t xml:space="preserve">On 30 April 2015 the Commission granted an exemption to the Commonwealth and all </w:t>
      </w:r>
      <w:r w:rsidR="00B462AD">
        <w:rPr>
          <w:color w:val="auto"/>
          <w:szCs w:val="24"/>
          <w:lang w:eastAsia="en-AU"/>
        </w:rPr>
        <w:t>ADEs</w:t>
      </w:r>
      <w:r w:rsidRPr="002A469C">
        <w:rPr>
          <w:color w:val="auto"/>
          <w:szCs w:val="24"/>
          <w:lang w:eastAsia="en-AU"/>
        </w:rPr>
        <w:t xml:space="preserve"> using or proposing to use the </w:t>
      </w:r>
      <w:r w:rsidR="00CB6D00">
        <w:rPr>
          <w:color w:val="auto"/>
          <w:szCs w:val="24"/>
          <w:lang w:eastAsia="en-AU"/>
        </w:rPr>
        <w:t>BSWAT</w:t>
      </w:r>
      <w:r w:rsidR="00762FAE">
        <w:rPr>
          <w:color w:val="auto"/>
          <w:szCs w:val="24"/>
          <w:lang w:eastAsia="en-AU"/>
        </w:rPr>
        <w:t xml:space="preserve"> (Interim Exemption)</w:t>
      </w:r>
      <w:r w:rsidRPr="002A469C">
        <w:rPr>
          <w:color w:val="auto"/>
          <w:szCs w:val="24"/>
          <w:lang w:eastAsia="en-AU"/>
        </w:rPr>
        <w:t xml:space="preserve">. The exemption was from the operation of sections 15, 24 and 29 of the Disability Discrimination Act for the period of four months, or until such time as a decision is made with respect to the Application, whichever is sooner, subject to certain conditions. The decision to grant the Interim Exemption was reviewed by the Administrative Appeals Tribunal (AAT) in a hearing on 14 July 2015. </w:t>
      </w:r>
    </w:p>
    <w:p w:rsidR="00342101" w:rsidRPr="002A469C" w:rsidRDefault="00F268A0" w:rsidP="001C1239">
      <w:pPr>
        <w:pStyle w:val="SubmissionNormal"/>
        <w:numPr>
          <w:ilvl w:val="0"/>
          <w:numId w:val="25"/>
        </w:numPr>
        <w:ind w:left="1094" w:hanging="737"/>
        <w:rPr>
          <w:color w:val="auto"/>
          <w:szCs w:val="24"/>
          <w:lang w:eastAsia="en-AU"/>
        </w:rPr>
      </w:pPr>
      <w:r>
        <w:rPr>
          <w:color w:val="auto"/>
          <w:szCs w:val="24"/>
          <w:lang w:eastAsia="en-AU"/>
        </w:rPr>
        <w:t>Shortly after receipt of the Application t</w:t>
      </w:r>
      <w:r w:rsidR="00342101" w:rsidRPr="002A469C">
        <w:rPr>
          <w:color w:val="auto"/>
          <w:szCs w:val="24"/>
          <w:lang w:eastAsia="en-AU"/>
        </w:rPr>
        <w:t xml:space="preserve">he Commission published the Application </w:t>
      </w:r>
      <w:r w:rsidR="00A07617">
        <w:rPr>
          <w:color w:val="auto"/>
          <w:szCs w:val="24"/>
          <w:lang w:eastAsia="en-AU"/>
        </w:rPr>
        <w:t xml:space="preserve">and an Easy English explanation </w:t>
      </w:r>
      <w:r w:rsidR="007C47D7">
        <w:rPr>
          <w:color w:val="auto"/>
          <w:szCs w:val="24"/>
          <w:lang w:eastAsia="en-AU"/>
        </w:rPr>
        <w:t xml:space="preserve">on </w:t>
      </w:r>
      <w:r w:rsidR="00342101" w:rsidRPr="002A469C">
        <w:rPr>
          <w:color w:val="auto"/>
          <w:szCs w:val="24"/>
          <w:lang w:eastAsia="en-AU"/>
        </w:rPr>
        <w:t xml:space="preserve">its website and called for submissions. The date for </w:t>
      </w:r>
      <w:r w:rsidR="00197FDF" w:rsidRPr="002A469C">
        <w:rPr>
          <w:color w:val="auto"/>
          <w:szCs w:val="24"/>
          <w:lang w:eastAsia="en-AU"/>
        </w:rPr>
        <w:t>submissions</w:t>
      </w:r>
      <w:r w:rsidR="00342101" w:rsidRPr="002A469C">
        <w:rPr>
          <w:color w:val="auto"/>
          <w:szCs w:val="24"/>
          <w:lang w:eastAsia="en-AU"/>
        </w:rPr>
        <w:t xml:space="preserve"> was ultimately extended to </w:t>
      </w:r>
      <w:r w:rsidR="00CB6D00">
        <w:rPr>
          <w:color w:val="auto"/>
          <w:szCs w:val="24"/>
          <w:lang w:eastAsia="en-AU"/>
        </w:rPr>
        <w:t>23 October 2015. 35</w:t>
      </w:r>
      <w:r w:rsidR="00342101" w:rsidRPr="002A469C">
        <w:rPr>
          <w:color w:val="auto"/>
          <w:szCs w:val="24"/>
          <w:lang w:eastAsia="en-AU"/>
        </w:rPr>
        <w:t xml:space="preserve"> submissions were received by the Commission. </w:t>
      </w:r>
      <w:r w:rsidR="007C47D7">
        <w:rPr>
          <w:color w:val="auto"/>
          <w:szCs w:val="24"/>
          <w:lang w:eastAsia="en-AU"/>
        </w:rPr>
        <w:t xml:space="preserve">Most of the submissions were posted on the Commission’s website. </w:t>
      </w:r>
    </w:p>
    <w:p w:rsidR="009B29F8" w:rsidRDefault="00F7726E" w:rsidP="001C1239">
      <w:pPr>
        <w:pStyle w:val="SubmissionNormal"/>
        <w:numPr>
          <w:ilvl w:val="0"/>
          <w:numId w:val="25"/>
        </w:numPr>
        <w:ind w:left="1094" w:hanging="737"/>
        <w:rPr>
          <w:color w:val="auto"/>
          <w:szCs w:val="24"/>
          <w:lang w:eastAsia="en-AU"/>
        </w:rPr>
      </w:pPr>
      <w:r w:rsidRPr="002A469C">
        <w:rPr>
          <w:color w:val="auto"/>
          <w:szCs w:val="24"/>
          <w:lang w:eastAsia="en-AU"/>
        </w:rPr>
        <w:t xml:space="preserve">On 15 May 2015 the Commission requested the </w:t>
      </w:r>
      <w:r w:rsidR="00B462AD">
        <w:rPr>
          <w:color w:val="auto"/>
          <w:szCs w:val="24"/>
          <w:lang w:eastAsia="en-AU"/>
        </w:rPr>
        <w:t>Commonwealth</w:t>
      </w:r>
      <w:r w:rsidRPr="002A469C">
        <w:rPr>
          <w:color w:val="auto"/>
          <w:szCs w:val="24"/>
          <w:lang w:eastAsia="en-AU"/>
        </w:rPr>
        <w:t xml:space="preserve"> provide </w:t>
      </w:r>
      <w:r w:rsidR="009B29F8">
        <w:rPr>
          <w:color w:val="auto"/>
          <w:szCs w:val="24"/>
          <w:lang w:eastAsia="en-AU"/>
        </w:rPr>
        <w:t>further</w:t>
      </w:r>
      <w:r w:rsidRPr="002A469C">
        <w:rPr>
          <w:color w:val="auto"/>
          <w:szCs w:val="24"/>
          <w:lang w:eastAsia="en-AU"/>
        </w:rPr>
        <w:t xml:space="preserve"> </w:t>
      </w:r>
      <w:r w:rsidR="00197FDF" w:rsidRPr="002A469C">
        <w:rPr>
          <w:color w:val="auto"/>
          <w:szCs w:val="24"/>
          <w:lang w:eastAsia="en-AU"/>
        </w:rPr>
        <w:t>information</w:t>
      </w:r>
      <w:r w:rsidR="00EA1E31">
        <w:rPr>
          <w:color w:val="auto"/>
          <w:szCs w:val="24"/>
          <w:lang w:eastAsia="en-AU"/>
        </w:rPr>
        <w:t xml:space="preserve"> in relation</w:t>
      </w:r>
      <w:r w:rsidR="00F3123A">
        <w:rPr>
          <w:color w:val="auto"/>
          <w:szCs w:val="24"/>
          <w:lang w:eastAsia="en-AU"/>
        </w:rPr>
        <w:t xml:space="preserve"> to specific aspects of the Application. Further requests for </w:t>
      </w:r>
      <w:r w:rsidR="00CD4EED">
        <w:rPr>
          <w:color w:val="auto"/>
          <w:szCs w:val="24"/>
          <w:lang w:eastAsia="en-AU"/>
        </w:rPr>
        <w:t>additional</w:t>
      </w:r>
      <w:r w:rsidR="00F3123A">
        <w:rPr>
          <w:color w:val="auto"/>
          <w:szCs w:val="24"/>
          <w:lang w:eastAsia="en-AU"/>
        </w:rPr>
        <w:t xml:space="preserve"> information were also made on 31 July 2015 and 1 September 2015. </w:t>
      </w:r>
      <w:r w:rsidR="009B29F8">
        <w:rPr>
          <w:color w:val="auto"/>
          <w:szCs w:val="24"/>
          <w:lang w:eastAsia="en-AU"/>
        </w:rPr>
        <w:t xml:space="preserve"> </w:t>
      </w:r>
    </w:p>
    <w:p w:rsidR="00291E2B" w:rsidRPr="00887CA7" w:rsidRDefault="00F7726E" w:rsidP="00F268A0">
      <w:pPr>
        <w:pStyle w:val="SubmissionNormal"/>
        <w:numPr>
          <w:ilvl w:val="0"/>
          <w:numId w:val="25"/>
        </w:numPr>
        <w:ind w:left="1094" w:hanging="737"/>
        <w:rPr>
          <w:color w:val="auto"/>
          <w:szCs w:val="24"/>
          <w:lang w:eastAsia="en-AU"/>
        </w:rPr>
      </w:pPr>
      <w:r w:rsidRPr="002A469C">
        <w:rPr>
          <w:color w:val="auto"/>
          <w:szCs w:val="24"/>
          <w:lang w:eastAsia="en-AU"/>
        </w:rPr>
        <w:lastRenderedPageBreak/>
        <w:t>Th</w:t>
      </w:r>
      <w:r w:rsidR="00F3123A">
        <w:rPr>
          <w:color w:val="auto"/>
          <w:szCs w:val="24"/>
          <w:lang w:eastAsia="en-AU"/>
        </w:rPr>
        <w:t>e</w:t>
      </w:r>
      <w:r w:rsidRPr="002A469C">
        <w:rPr>
          <w:color w:val="auto"/>
          <w:szCs w:val="24"/>
          <w:lang w:eastAsia="en-AU"/>
        </w:rPr>
        <w:t>s</w:t>
      </w:r>
      <w:r w:rsidR="00F3123A">
        <w:rPr>
          <w:color w:val="auto"/>
          <w:szCs w:val="24"/>
          <w:lang w:eastAsia="en-AU"/>
        </w:rPr>
        <w:t>e</w:t>
      </w:r>
      <w:r w:rsidRPr="002A469C">
        <w:rPr>
          <w:color w:val="auto"/>
          <w:szCs w:val="24"/>
          <w:lang w:eastAsia="en-AU"/>
        </w:rPr>
        <w:t xml:space="preserve"> request</w:t>
      </w:r>
      <w:r w:rsidR="00F3123A">
        <w:rPr>
          <w:color w:val="auto"/>
          <w:szCs w:val="24"/>
          <w:lang w:eastAsia="en-AU"/>
        </w:rPr>
        <w:t>s</w:t>
      </w:r>
      <w:r w:rsidRPr="002A469C">
        <w:rPr>
          <w:color w:val="auto"/>
          <w:szCs w:val="24"/>
          <w:lang w:eastAsia="en-AU"/>
        </w:rPr>
        <w:t xml:space="preserve"> </w:t>
      </w:r>
      <w:r w:rsidR="00F3123A">
        <w:rPr>
          <w:color w:val="auto"/>
          <w:szCs w:val="24"/>
          <w:lang w:eastAsia="en-AU"/>
        </w:rPr>
        <w:t>were</w:t>
      </w:r>
      <w:r w:rsidRPr="002A469C">
        <w:rPr>
          <w:color w:val="auto"/>
          <w:szCs w:val="24"/>
          <w:lang w:eastAsia="en-AU"/>
        </w:rPr>
        <w:t xml:space="preserve"> published on the Commission</w:t>
      </w:r>
      <w:r w:rsidR="00762FAE">
        <w:rPr>
          <w:color w:val="auto"/>
          <w:szCs w:val="24"/>
          <w:lang w:eastAsia="en-AU"/>
        </w:rPr>
        <w:t>’s</w:t>
      </w:r>
      <w:r w:rsidRPr="002A469C">
        <w:rPr>
          <w:color w:val="auto"/>
          <w:szCs w:val="24"/>
          <w:lang w:eastAsia="en-AU"/>
        </w:rPr>
        <w:t xml:space="preserve"> </w:t>
      </w:r>
      <w:r w:rsidR="00F3123A">
        <w:rPr>
          <w:color w:val="auto"/>
          <w:szCs w:val="24"/>
          <w:lang w:eastAsia="en-AU"/>
        </w:rPr>
        <w:t>website and</w:t>
      </w:r>
      <w:r w:rsidR="009A13A9" w:rsidRPr="002A469C">
        <w:rPr>
          <w:color w:val="auto"/>
          <w:szCs w:val="24"/>
          <w:lang w:eastAsia="en-AU"/>
        </w:rPr>
        <w:t xml:space="preserve"> </w:t>
      </w:r>
      <w:r w:rsidR="00197FDF" w:rsidRPr="002A469C">
        <w:rPr>
          <w:color w:val="auto"/>
          <w:szCs w:val="24"/>
          <w:lang w:eastAsia="en-AU"/>
        </w:rPr>
        <w:t>submissions</w:t>
      </w:r>
      <w:r w:rsidR="009A13A9" w:rsidRPr="002A469C">
        <w:rPr>
          <w:color w:val="auto"/>
          <w:szCs w:val="24"/>
          <w:lang w:eastAsia="en-AU"/>
        </w:rPr>
        <w:t xml:space="preserve"> </w:t>
      </w:r>
      <w:r w:rsidR="00762FAE">
        <w:rPr>
          <w:color w:val="auto"/>
          <w:szCs w:val="24"/>
          <w:lang w:eastAsia="en-AU"/>
        </w:rPr>
        <w:t xml:space="preserve">were </w:t>
      </w:r>
      <w:r w:rsidR="00CD4EED">
        <w:rPr>
          <w:color w:val="auto"/>
          <w:szCs w:val="24"/>
          <w:lang w:eastAsia="en-AU"/>
        </w:rPr>
        <w:t>invited</w:t>
      </w:r>
      <w:r w:rsidR="00F3123A">
        <w:rPr>
          <w:color w:val="auto"/>
          <w:szCs w:val="24"/>
          <w:lang w:eastAsia="en-AU"/>
        </w:rPr>
        <w:t xml:space="preserve"> in response</w:t>
      </w:r>
      <w:r w:rsidR="009A13A9" w:rsidRPr="002A469C">
        <w:rPr>
          <w:color w:val="auto"/>
          <w:szCs w:val="24"/>
          <w:lang w:eastAsia="en-AU"/>
        </w:rPr>
        <w:t>.</w:t>
      </w:r>
      <w:r w:rsidR="00291E2B">
        <w:rPr>
          <w:color w:val="auto"/>
          <w:szCs w:val="24"/>
          <w:lang w:eastAsia="en-AU"/>
        </w:rPr>
        <w:t xml:space="preserve"> </w:t>
      </w:r>
    </w:p>
    <w:p w:rsidR="00073207" w:rsidRPr="002A469C" w:rsidRDefault="001D1788" w:rsidP="001C1239">
      <w:pPr>
        <w:pStyle w:val="SubmissionNormal"/>
        <w:numPr>
          <w:ilvl w:val="0"/>
          <w:numId w:val="25"/>
        </w:numPr>
        <w:ind w:left="1094" w:hanging="737"/>
        <w:rPr>
          <w:color w:val="auto"/>
          <w:szCs w:val="24"/>
          <w:lang w:eastAsia="en-AU"/>
        </w:rPr>
      </w:pPr>
      <w:r w:rsidRPr="002A469C">
        <w:rPr>
          <w:color w:val="auto"/>
          <w:szCs w:val="24"/>
          <w:lang w:eastAsia="en-AU"/>
        </w:rPr>
        <w:t xml:space="preserve">On 21 May 2015 the Commission received a request from </w:t>
      </w:r>
      <w:r w:rsidR="007629CA">
        <w:rPr>
          <w:color w:val="auto"/>
          <w:szCs w:val="24"/>
          <w:lang w:eastAsia="en-AU"/>
        </w:rPr>
        <w:t>National Disability Services (</w:t>
      </w:r>
      <w:r w:rsidRPr="002A469C">
        <w:rPr>
          <w:color w:val="auto"/>
          <w:szCs w:val="24"/>
          <w:lang w:eastAsia="en-AU"/>
        </w:rPr>
        <w:t>NDS</w:t>
      </w:r>
      <w:r w:rsidR="007629CA">
        <w:rPr>
          <w:color w:val="auto"/>
          <w:szCs w:val="24"/>
          <w:lang w:eastAsia="en-AU"/>
        </w:rPr>
        <w:t>)</w:t>
      </w:r>
      <w:r w:rsidRPr="002A469C">
        <w:rPr>
          <w:color w:val="auto"/>
          <w:szCs w:val="24"/>
          <w:lang w:eastAsia="en-AU"/>
        </w:rPr>
        <w:t xml:space="preserve"> </w:t>
      </w:r>
      <w:r w:rsidR="00073207" w:rsidRPr="002A469C">
        <w:rPr>
          <w:color w:val="auto"/>
          <w:szCs w:val="24"/>
          <w:lang w:eastAsia="en-AU"/>
        </w:rPr>
        <w:t xml:space="preserve">on behalf of its members </w:t>
      </w:r>
      <w:r w:rsidRPr="002A469C">
        <w:rPr>
          <w:color w:val="auto"/>
          <w:szCs w:val="24"/>
          <w:lang w:eastAsia="en-AU"/>
        </w:rPr>
        <w:t xml:space="preserve">to join the </w:t>
      </w:r>
      <w:r w:rsidR="00197FDF" w:rsidRPr="002A469C">
        <w:rPr>
          <w:color w:val="auto"/>
          <w:szCs w:val="24"/>
          <w:lang w:eastAsia="en-AU"/>
        </w:rPr>
        <w:t>Application</w:t>
      </w:r>
      <w:r w:rsidR="00C71C01">
        <w:rPr>
          <w:color w:val="auto"/>
          <w:szCs w:val="24"/>
          <w:lang w:eastAsia="en-AU"/>
        </w:rPr>
        <w:t xml:space="preserve">. </w:t>
      </w:r>
      <w:r w:rsidR="00741E8B">
        <w:rPr>
          <w:color w:val="auto"/>
          <w:szCs w:val="24"/>
          <w:lang w:eastAsia="en-AU"/>
        </w:rPr>
        <w:t xml:space="preserve">The </w:t>
      </w:r>
      <w:r w:rsidR="00780189">
        <w:rPr>
          <w:color w:val="auto"/>
          <w:szCs w:val="24"/>
          <w:lang w:eastAsia="en-AU"/>
        </w:rPr>
        <w:t xml:space="preserve">NDS is the peak industry body for non-government disability services. </w:t>
      </w:r>
      <w:r w:rsidRPr="002A469C">
        <w:rPr>
          <w:color w:val="auto"/>
          <w:szCs w:val="24"/>
          <w:lang w:eastAsia="en-AU"/>
        </w:rPr>
        <w:t xml:space="preserve">That request was granted. </w:t>
      </w:r>
      <w:r w:rsidR="00073207" w:rsidRPr="002A469C">
        <w:rPr>
          <w:color w:val="auto"/>
          <w:szCs w:val="24"/>
          <w:lang w:eastAsia="en-AU"/>
        </w:rPr>
        <w:t>On 28 May 2015 the Commission received a submi</w:t>
      </w:r>
      <w:r w:rsidR="003C5A6F">
        <w:rPr>
          <w:color w:val="auto"/>
          <w:szCs w:val="24"/>
          <w:lang w:eastAsia="en-AU"/>
        </w:rPr>
        <w:t xml:space="preserve">ssion from </w:t>
      </w:r>
      <w:r w:rsidR="00741E8B">
        <w:rPr>
          <w:color w:val="auto"/>
          <w:szCs w:val="24"/>
          <w:lang w:eastAsia="en-AU"/>
        </w:rPr>
        <w:t xml:space="preserve">the </w:t>
      </w:r>
      <w:r w:rsidR="003C5A6F">
        <w:rPr>
          <w:color w:val="auto"/>
          <w:szCs w:val="24"/>
          <w:lang w:eastAsia="en-AU"/>
        </w:rPr>
        <w:t>NDS in support of the</w:t>
      </w:r>
      <w:r w:rsidR="00073207" w:rsidRPr="002A469C">
        <w:rPr>
          <w:color w:val="auto"/>
          <w:szCs w:val="24"/>
          <w:lang w:eastAsia="en-AU"/>
        </w:rPr>
        <w:t xml:space="preserve"> </w:t>
      </w:r>
      <w:r w:rsidR="00C86530">
        <w:rPr>
          <w:color w:val="auto"/>
          <w:szCs w:val="24"/>
          <w:lang w:eastAsia="en-AU"/>
        </w:rPr>
        <w:t>Application</w:t>
      </w:r>
      <w:r w:rsidR="00073207" w:rsidRPr="002A469C">
        <w:rPr>
          <w:color w:val="auto"/>
          <w:szCs w:val="24"/>
          <w:lang w:eastAsia="en-AU"/>
        </w:rPr>
        <w:t xml:space="preserve">. </w:t>
      </w:r>
    </w:p>
    <w:p w:rsidR="00712D6B" w:rsidRDefault="00712D6B" w:rsidP="001C1239">
      <w:pPr>
        <w:pStyle w:val="SubmissionNormal"/>
        <w:numPr>
          <w:ilvl w:val="0"/>
          <w:numId w:val="25"/>
        </w:numPr>
        <w:ind w:left="1094" w:hanging="737"/>
        <w:rPr>
          <w:color w:val="auto"/>
          <w:szCs w:val="24"/>
          <w:lang w:eastAsia="en-AU"/>
        </w:rPr>
      </w:pPr>
      <w:r w:rsidRPr="002A469C">
        <w:rPr>
          <w:color w:val="auto"/>
          <w:szCs w:val="24"/>
          <w:lang w:eastAsia="en-AU"/>
        </w:rPr>
        <w:t>On 5 June</w:t>
      </w:r>
      <w:r w:rsidR="00267BFA">
        <w:rPr>
          <w:color w:val="auto"/>
          <w:szCs w:val="24"/>
          <w:lang w:eastAsia="en-AU"/>
        </w:rPr>
        <w:t xml:space="preserve"> 2015</w:t>
      </w:r>
      <w:r w:rsidRPr="002A469C">
        <w:rPr>
          <w:color w:val="auto"/>
          <w:szCs w:val="24"/>
          <w:lang w:eastAsia="en-AU"/>
        </w:rPr>
        <w:t xml:space="preserve"> the Fair Work Commission made an order by consent in </w:t>
      </w:r>
      <w:r w:rsidR="00197FDF" w:rsidRPr="002A469C">
        <w:rPr>
          <w:color w:val="auto"/>
          <w:szCs w:val="24"/>
          <w:lang w:eastAsia="en-AU"/>
        </w:rPr>
        <w:t>proceedings</w:t>
      </w:r>
      <w:r w:rsidRPr="002A469C">
        <w:rPr>
          <w:color w:val="auto"/>
          <w:szCs w:val="24"/>
          <w:lang w:eastAsia="en-AU"/>
        </w:rPr>
        <w:t xml:space="preserve"> AM 2013/30, an application to vary the </w:t>
      </w:r>
      <w:r w:rsidR="005A4EF1" w:rsidRPr="002A469C">
        <w:rPr>
          <w:color w:val="auto"/>
          <w:szCs w:val="24"/>
          <w:lang w:eastAsia="en-AU"/>
        </w:rPr>
        <w:t xml:space="preserve">Supported Employment Services Award 2010 (Award). The order provided for the variation of the </w:t>
      </w:r>
      <w:r w:rsidR="00C71C01" w:rsidRPr="002A469C">
        <w:rPr>
          <w:color w:val="auto"/>
          <w:szCs w:val="24"/>
          <w:lang w:eastAsia="en-AU"/>
        </w:rPr>
        <w:t xml:space="preserve">Award </w:t>
      </w:r>
      <w:r w:rsidR="005A4EF1" w:rsidRPr="002A469C">
        <w:rPr>
          <w:color w:val="auto"/>
          <w:szCs w:val="24"/>
          <w:lang w:eastAsia="en-AU"/>
        </w:rPr>
        <w:t xml:space="preserve">to remove BSWAT as an ‘approved wage assessment tool’ under clause 14.4 of </w:t>
      </w:r>
      <w:r w:rsidR="00C71C01">
        <w:rPr>
          <w:color w:val="auto"/>
          <w:szCs w:val="24"/>
          <w:lang w:eastAsia="en-AU"/>
        </w:rPr>
        <w:t xml:space="preserve">the </w:t>
      </w:r>
      <w:r w:rsidR="005A4EF1" w:rsidRPr="002A469C">
        <w:rPr>
          <w:color w:val="auto"/>
          <w:szCs w:val="24"/>
          <w:lang w:eastAsia="en-AU"/>
        </w:rPr>
        <w:t xml:space="preserve">Award and insert transitional provisions phasing out the use of BSWAT. The </w:t>
      </w:r>
      <w:r w:rsidR="00C71C01" w:rsidRPr="002A469C">
        <w:rPr>
          <w:color w:val="auto"/>
          <w:szCs w:val="24"/>
          <w:lang w:eastAsia="en-AU"/>
        </w:rPr>
        <w:t xml:space="preserve">Award </w:t>
      </w:r>
      <w:r w:rsidR="005A4EF1" w:rsidRPr="002A469C">
        <w:rPr>
          <w:color w:val="auto"/>
          <w:szCs w:val="24"/>
          <w:lang w:eastAsia="en-AU"/>
        </w:rPr>
        <w:t>has been amended accordingly with the insertion of clause 14.6.</w:t>
      </w:r>
    </w:p>
    <w:p w:rsidR="00314A99" w:rsidRDefault="00314A99" w:rsidP="00291E2B">
      <w:pPr>
        <w:pStyle w:val="SubmissionNormal"/>
        <w:keepNext/>
        <w:numPr>
          <w:ilvl w:val="0"/>
          <w:numId w:val="25"/>
        </w:numPr>
        <w:ind w:left="1094" w:hanging="737"/>
        <w:rPr>
          <w:color w:val="auto"/>
          <w:szCs w:val="24"/>
          <w:lang w:eastAsia="en-AU"/>
        </w:rPr>
      </w:pPr>
      <w:r>
        <w:rPr>
          <w:color w:val="auto"/>
          <w:szCs w:val="24"/>
          <w:lang w:eastAsia="en-AU"/>
        </w:rPr>
        <w:t xml:space="preserve">Clause 14.6 </w:t>
      </w:r>
      <w:r w:rsidR="003C5A6F">
        <w:rPr>
          <w:color w:val="auto"/>
          <w:szCs w:val="24"/>
          <w:lang w:eastAsia="en-AU"/>
        </w:rPr>
        <w:t xml:space="preserve">of the Award now </w:t>
      </w:r>
      <w:r>
        <w:rPr>
          <w:color w:val="auto"/>
          <w:szCs w:val="24"/>
          <w:lang w:eastAsia="en-AU"/>
        </w:rPr>
        <w:t>provides as follows:</w:t>
      </w:r>
    </w:p>
    <w:p w:rsidR="00314A99" w:rsidRPr="00314A99" w:rsidRDefault="00314A99" w:rsidP="00314A99">
      <w:pPr>
        <w:pStyle w:val="SubmissionNormal"/>
        <w:ind w:left="1440"/>
        <w:rPr>
          <w:color w:val="auto"/>
          <w:sz w:val="22"/>
          <w:szCs w:val="22"/>
          <w:lang w:eastAsia="en-AU"/>
        </w:rPr>
      </w:pPr>
      <w:r w:rsidRPr="00314A99">
        <w:rPr>
          <w:color w:val="auto"/>
          <w:sz w:val="22"/>
          <w:szCs w:val="22"/>
          <w:lang w:eastAsia="en-AU"/>
        </w:rPr>
        <w:t>14.6 Transitional arrangement</w:t>
      </w:r>
    </w:p>
    <w:p w:rsidR="00314A99" w:rsidRPr="00314A99" w:rsidRDefault="00314A99" w:rsidP="00F51016">
      <w:pPr>
        <w:pStyle w:val="SubmissionNormal"/>
        <w:ind w:left="2160" w:hanging="720"/>
        <w:rPr>
          <w:color w:val="auto"/>
          <w:sz w:val="22"/>
          <w:szCs w:val="22"/>
          <w:lang w:eastAsia="en-AU"/>
        </w:rPr>
      </w:pPr>
      <w:r w:rsidRPr="00314A99">
        <w:rPr>
          <w:color w:val="auto"/>
          <w:sz w:val="22"/>
          <w:szCs w:val="22"/>
          <w:lang w:eastAsia="en-AU"/>
        </w:rPr>
        <w:t xml:space="preserve">(a) </w:t>
      </w:r>
      <w:r w:rsidR="00F51016">
        <w:rPr>
          <w:color w:val="auto"/>
          <w:sz w:val="22"/>
          <w:szCs w:val="22"/>
          <w:lang w:eastAsia="en-AU"/>
        </w:rPr>
        <w:tab/>
      </w:r>
      <w:r w:rsidRPr="00314A99">
        <w:rPr>
          <w:color w:val="auto"/>
          <w:sz w:val="22"/>
          <w:szCs w:val="22"/>
          <w:lang w:eastAsia="en-AU"/>
        </w:rPr>
        <w:t>The Business Services Wage Assessment Tool is no longer an approved wage assessment tool for the purpose of this clause. Continued use of the Business</w:t>
      </w:r>
      <w:r w:rsidR="00324A2D">
        <w:rPr>
          <w:color w:val="auto"/>
          <w:sz w:val="22"/>
          <w:szCs w:val="22"/>
          <w:lang w:eastAsia="en-AU"/>
        </w:rPr>
        <w:t xml:space="preserve"> </w:t>
      </w:r>
      <w:r w:rsidRPr="00314A99">
        <w:rPr>
          <w:color w:val="auto"/>
          <w:sz w:val="22"/>
          <w:szCs w:val="22"/>
          <w:lang w:eastAsia="en-AU"/>
        </w:rPr>
        <w:t>Services Wage Assessment tool under this clause is only permissible in terms of this transitional arrangement.</w:t>
      </w:r>
    </w:p>
    <w:p w:rsidR="00314A99" w:rsidRPr="00314A99" w:rsidRDefault="00314A99" w:rsidP="00F51016">
      <w:pPr>
        <w:pStyle w:val="SubmissionNormal"/>
        <w:ind w:left="2160" w:hanging="720"/>
        <w:rPr>
          <w:color w:val="auto"/>
          <w:sz w:val="22"/>
          <w:szCs w:val="22"/>
          <w:lang w:eastAsia="en-AU"/>
        </w:rPr>
      </w:pPr>
      <w:r w:rsidRPr="00314A99">
        <w:rPr>
          <w:color w:val="auto"/>
          <w:sz w:val="22"/>
          <w:szCs w:val="22"/>
          <w:lang w:eastAsia="en-AU"/>
        </w:rPr>
        <w:t xml:space="preserve">(b) </w:t>
      </w:r>
      <w:r w:rsidR="00F51016">
        <w:rPr>
          <w:color w:val="auto"/>
          <w:sz w:val="22"/>
          <w:szCs w:val="22"/>
          <w:lang w:eastAsia="en-AU"/>
        </w:rPr>
        <w:tab/>
      </w:r>
      <w:r w:rsidRPr="00314A99">
        <w:rPr>
          <w:color w:val="auto"/>
          <w:sz w:val="22"/>
          <w:szCs w:val="22"/>
          <w:lang w:eastAsia="en-AU"/>
        </w:rPr>
        <w:t>A supported employment service that is using the Business Services Wage Assessment Tool may continue to use the Business Services Wage Assessment tool:</w:t>
      </w:r>
    </w:p>
    <w:p w:rsidR="00314A99" w:rsidRPr="00314A99" w:rsidRDefault="00314A99" w:rsidP="00F51016">
      <w:pPr>
        <w:pStyle w:val="SubmissionNormal"/>
        <w:ind w:left="2880" w:hanging="720"/>
        <w:rPr>
          <w:color w:val="auto"/>
          <w:sz w:val="22"/>
          <w:szCs w:val="22"/>
          <w:lang w:eastAsia="en-AU"/>
        </w:rPr>
      </w:pPr>
      <w:r w:rsidRPr="00314A99">
        <w:rPr>
          <w:color w:val="auto"/>
          <w:sz w:val="22"/>
          <w:szCs w:val="22"/>
          <w:lang w:eastAsia="en-AU"/>
        </w:rPr>
        <w:t xml:space="preserve">(i) </w:t>
      </w:r>
      <w:r w:rsidR="00F51016">
        <w:rPr>
          <w:color w:val="auto"/>
          <w:sz w:val="22"/>
          <w:szCs w:val="22"/>
          <w:lang w:eastAsia="en-AU"/>
        </w:rPr>
        <w:tab/>
      </w:r>
      <w:r w:rsidRPr="00314A99">
        <w:rPr>
          <w:color w:val="auto"/>
          <w:sz w:val="22"/>
          <w:szCs w:val="22"/>
          <w:lang w:eastAsia="en-AU"/>
        </w:rPr>
        <w:t>until 31 October 2015 provided that within 1 month of the date of this variation the supported employment service indicates in writing to the Fair Work Commission its decision to transition to another approved wage assessment tool and the name of the tool it intends to transition to; and</w:t>
      </w:r>
    </w:p>
    <w:p w:rsidR="00314A99" w:rsidRPr="00314A99" w:rsidRDefault="00314A99" w:rsidP="00F51016">
      <w:pPr>
        <w:pStyle w:val="SubmissionNormal"/>
        <w:ind w:left="2880" w:hanging="720"/>
        <w:rPr>
          <w:color w:val="auto"/>
          <w:sz w:val="22"/>
          <w:szCs w:val="22"/>
          <w:lang w:eastAsia="en-AU"/>
        </w:rPr>
      </w:pPr>
      <w:r w:rsidRPr="00314A99">
        <w:rPr>
          <w:color w:val="auto"/>
          <w:sz w:val="22"/>
          <w:szCs w:val="22"/>
          <w:lang w:eastAsia="en-AU"/>
        </w:rPr>
        <w:t xml:space="preserve">(ii) </w:t>
      </w:r>
      <w:r w:rsidR="00F51016">
        <w:rPr>
          <w:color w:val="auto"/>
          <w:sz w:val="22"/>
          <w:szCs w:val="22"/>
          <w:lang w:eastAsia="en-AU"/>
        </w:rPr>
        <w:tab/>
      </w:r>
      <w:r w:rsidRPr="00314A99">
        <w:rPr>
          <w:color w:val="auto"/>
          <w:sz w:val="22"/>
          <w:szCs w:val="22"/>
          <w:lang w:eastAsia="en-AU"/>
        </w:rPr>
        <w:t>for a further transitional period not extending past close of business, Monday 29 February 2016 granted by the Fair Work Commission following application in writing by the supported employment service.</w:t>
      </w:r>
    </w:p>
    <w:p w:rsidR="005957FB" w:rsidRDefault="005957FB" w:rsidP="005957FB">
      <w:pPr>
        <w:pStyle w:val="SubmissionNormal"/>
        <w:numPr>
          <w:ilvl w:val="0"/>
          <w:numId w:val="25"/>
        </w:numPr>
        <w:ind w:left="1094" w:hanging="737"/>
        <w:rPr>
          <w:color w:val="auto"/>
          <w:szCs w:val="24"/>
          <w:lang w:eastAsia="en-AU"/>
        </w:rPr>
      </w:pPr>
      <w:r>
        <w:rPr>
          <w:color w:val="auto"/>
          <w:szCs w:val="24"/>
          <w:lang w:eastAsia="en-AU"/>
        </w:rPr>
        <w:t xml:space="preserve">On 19 June 2015 the Commission included notice of the Application in its e-bulletin emailed to all people signed up to the Commission's emailing list. The e-bulletin was also published on the Commission website. </w:t>
      </w:r>
    </w:p>
    <w:p w:rsidR="002438E6" w:rsidRPr="002A469C" w:rsidRDefault="002438E6" w:rsidP="001C1239">
      <w:pPr>
        <w:pStyle w:val="SubmissionNormal"/>
        <w:numPr>
          <w:ilvl w:val="0"/>
          <w:numId w:val="25"/>
        </w:numPr>
        <w:ind w:left="1094" w:hanging="737"/>
        <w:rPr>
          <w:color w:val="auto"/>
          <w:szCs w:val="24"/>
          <w:lang w:eastAsia="en-AU"/>
        </w:rPr>
      </w:pPr>
      <w:r w:rsidRPr="002A469C">
        <w:rPr>
          <w:color w:val="auto"/>
          <w:szCs w:val="24"/>
          <w:lang w:eastAsia="en-AU"/>
        </w:rPr>
        <w:t>On 25</w:t>
      </w:r>
      <w:r w:rsidR="005A4EF1" w:rsidRPr="002A469C">
        <w:rPr>
          <w:color w:val="auto"/>
          <w:szCs w:val="24"/>
          <w:lang w:eastAsia="en-AU"/>
        </w:rPr>
        <w:t xml:space="preserve"> June 2015</w:t>
      </w:r>
      <w:r w:rsidR="00F7726E" w:rsidRPr="002A469C">
        <w:rPr>
          <w:color w:val="auto"/>
          <w:szCs w:val="24"/>
          <w:lang w:eastAsia="en-AU"/>
        </w:rPr>
        <w:t xml:space="preserve">, as a result of the Order of the Fair Work </w:t>
      </w:r>
      <w:r w:rsidR="00197FDF" w:rsidRPr="002A469C">
        <w:rPr>
          <w:color w:val="auto"/>
          <w:szCs w:val="24"/>
          <w:lang w:eastAsia="en-AU"/>
        </w:rPr>
        <w:t>Commission</w:t>
      </w:r>
      <w:r w:rsidR="00F7726E" w:rsidRPr="002A469C">
        <w:rPr>
          <w:color w:val="auto"/>
          <w:szCs w:val="24"/>
          <w:lang w:eastAsia="en-AU"/>
        </w:rPr>
        <w:t>,</w:t>
      </w:r>
      <w:r w:rsidR="005A4EF1" w:rsidRPr="002A469C">
        <w:rPr>
          <w:color w:val="auto"/>
          <w:szCs w:val="24"/>
          <w:lang w:eastAsia="en-AU"/>
        </w:rPr>
        <w:t xml:space="preserve"> the </w:t>
      </w:r>
      <w:r w:rsidR="00B462AD">
        <w:rPr>
          <w:color w:val="auto"/>
          <w:szCs w:val="24"/>
          <w:lang w:eastAsia="en-AU"/>
        </w:rPr>
        <w:t>Commonwealth</w:t>
      </w:r>
      <w:r w:rsidR="00F7726E" w:rsidRPr="002A469C">
        <w:rPr>
          <w:color w:val="auto"/>
          <w:szCs w:val="24"/>
          <w:lang w:eastAsia="en-AU"/>
        </w:rPr>
        <w:t xml:space="preserve"> amended </w:t>
      </w:r>
      <w:r w:rsidR="00C71C01">
        <w:rPr>
          <w:color w:val="auto"/>
          <w:szCs w:val="24"/>
          <w:lang w:eastAsia="en-AU"/>
        </w:rPr>
        <w:t>its</w:t>
      </w:r>
      <w:r w:rsidR="00F7726E" w:rsidRPr="002A469C">
        <w:rPr>
          <w:color w:val="auto"/>
          <w:szCs w:val="24"/>
          <w:lang w:eastAsia="en-AU"/>
        </w:rPr>
        <w:t xml:space="preserve"> Application from a request for exemption for 12 months to an exemption to the close of business on 29 February 2016</w:t>
      </w:r>
      <w:r w:rsidR="00C71C01">
        <w:rPr>
          <w:color w:val="auto"/>
          <w:szCs w:val="24"/>
          <w:lang w:eastAsia="en-AU"/>
        </w:rPr>
        <w:t xml:space="preserve"> </w:t>
      </w:r>
      <w:r w:rsidR="00CB6D00">
        <w:rPr>
          <w:color w:val="auto"/>
          <w:szCs w:val="24"/>
          <w:lang w:eastAsia="en-AU"/>
        </w:rPr>
        <w:t xml:space="preserve">to </w:t>
      </w:r>
      <w:r w:rsidR="00F554C0">
        <w:rPr>
          <w:color w:val="auto"/>
          <w:szCs w:val="24"/>
          <w:lang w:eastAsia="en-AU"/>
        </w:rPr>
        <w:t>reflect</w:t>
      </w:r>
      <w:r w:rsidR="00CB6D00">
        <w:rPr>
          <w:color w:val="auto"/>
          <w:szCs w:val="24"/>
          <w:lang w:eastAsia="en-AU"/>
        </w:rPr>
        <w:t xml:space="preserve"> the terms of that Order</w:t>
      </w:r>
      <w:r w:rsidR="00F7726E" w:rsidRPr="002A469C">
        <w:rPr>
          <w:color w:val="auto"/>
          <w:szCs w:val="24"/>
          <w:lang w:eastAsia="en-AU"/>
        </w:rPr>
        <w:t xml:space="preserve">.  </w:t>
      </w:r>
    </w:p>
    <w:p w:rsidR="00887CA7" w:rsidRDefault="00887CA7" w:rsidP="001C1239">
      <w:pPr>
        <w:pStyle w:val="SubmissionNormal"/>
        <w:numPr>
          <w:ilvl w:val="0"/>
          <w:numId w:val="25"/>
        </w:numPr>
        <w:ind w:left="1094" w:hanging="737"/>
        <w:rPr>
          <w:color w:val="auto"/>
          <w:szCs w:val="24"/>
          <w:lang w:eastAsia="en-AU"/>
        </w:rPr>
      </w:pPr>
      <w:r>
        <w:rPr>
          <w:color w:val="auto"/>
          <w:szCs w:val="24"/>
          <w:lang w:eastAsia="en-AU"/>
        </w:rPr>
        <w:t xml:space="preserve">On 26 June 2015 the NDS provided further information in </w:t>
      </w:r>
      <w:r w:rsidR="00A866FB">
        <w:rPr>
          <w:color w:val="auto"/>
          <w:szCs w:val="24"/>
          <w:lang w:eastAsia="en-AU"/>
        </w:rPr>
        <w:t>relation</w:t>
      </w:r>
      <w:r>
        <w:rPr>
          <w:color w:val="auto"/>
          <w:szCs w:val="24"/>
          <w:lang w:eastAsia="en-AU"/>
        </w:rPr>
        <w:t xml:space="preserve"> to the financial impact </w:t>
      </w:r>
      <w:r w:rsidR="00C71C01">
        <w:rPr>
          <w:color w:val="auto"/>
          <w:szCs w:val="24"/>
          <w:lang w:eastAsia="en-AU"/>
        </w:rPr>
        <w:t xml:space="preserve">of the transition away from BSWAT </w:t>
      </w:r>
      <w:r>
        <w:rPr>
          <w:color w:val="auto"/>
          <w:szCs w:val="24"/>
          <w:lang w:eastAsia="en-AU"/>
        </w:rPr>
        <w:t>on ADEs.</w:t>
      </w:r>
    </w:p>
    <w:p w:rsidR="00E70AD3" w:rsidRPr="002A469C" w:rsidRDefault="00E70AD3" w:rsidP="001C1239">
      <w:pPr>
        <w:pStyle w:val="SubmissionNormal"/>
        <w:numPr>
          <w:ilvl w:val="0"/>
          <w:numId w:val="25"/>
        </w:numPr>
        <w:ind w:left="1094" w:hanging="737"/>
        <w:rPr>
          <w:color w:val="auto"/>
          <w:szCs w:val="24"/>
          <w:lang w:eastAsia="en-AU"/>
        </w:rPr>
      </w:pPr>
      <w:r w:rsidRPr="002A469C">
        <w:rPr>
          <w:color w:val="auto"/>
          <w:szCs w:val="24"/>
          <w:lang w:eastAsia="en-AU"/>
        </w:rPr>
        <w:t xml:space="preserve">On 29 June 2015 the Commission was advised that NDS intended to commission KPMG to analyse the impact of increased wage costs incurred </w:t>
      </w:r>
      <w:r w:rsidRPr="002A469C">
        <w:rPr>
          <w:color w:val="auto"/>
          <w:szCs w:val="24"/>
          <w:lang w:eastAsia="en-AU"/>
        </w:rPr>
        <w:lastRenderedPageBreak/>
        <w:t xml:space="preserve">by ADEs moving from the BSWAT to one of the other wage assessment tools available. </w:t>
      </w:r>
    </w:p>
    <w:p w:rsidR="00EE15DA" w:rsidRPr="002A469C" w:rsidRDefault="00EE15DA" w:rsidP="001C1239">
      <w:pPr>
        <w:pStyle w:val="SubmissionNormal"/>
        <w:numPr>
          <w:ilvl w:val="0"/>
          <w:numId w:val="25"/>
        </w:numPr>
        <w:ind w:left="1094" w:hanging="737"/>
        <w:rPr>
          <w:color w:val="auto"/>
          <w:szCs w:val="24"/>
          <w:lang w:eastAsia="en-AU"/>
        </w:rPr>
      </w:pPr>
      <w:r w:rsidRPr="002A469C">
        <w:rPr>
          <w:color w:val="auto"/>
          <w:szCs w:val="24"/>
          <w:lang w:eastAsia="en-AU"/>
        </w:rPr>
        <w:t xml:space="preserve">On 29 June 2015 the Commission published the </w:t>
      </w:r>
      <w:r w:rsidR="00CB6D00" w:rsidRPr="002A469C">
        <w:rPr>
          <w:color w:val="auto"/>
          <w:szCs w:val="24"/>
          <w:lang w:eastAsia="en-AU"/>
        </w:rPr>
        <w:t xml:space="preserve">amended application </w:t>
      </w:r>
      <w:r w:rsidRPr="002A469C">
        <w:rPr>
          <w:color w:val="auto"/>
          <w:szCs w:val="24"/>
          <w:lang w:eastAsia="en-AU"/>
        </w:rPr>
        <w:t xml:space="preserve">on its website and called for further submissions in relation to the </w:t>
      </w:r>
      <w:r w:rsidR="00672D74">
        <w:rPr>
          <w:color w:val="auto"/>
          <w:szCs w:val="24"/>
          <w:lang w:eastAsia="en-AU"/>
        </w:rPr>
        <w:t>Application</w:t>
      </w:r>
      <w:r w:rsidR="00C86530" w:rsidRPr="002A469C">
        <w:rPr>
          <w:color w:val="auto"/>
          <w:szCs w:val="24"/>
          <w:lang w:eastAsia="en-AU"/>
        </w:rPr>
        <w:t xml:space="preserve"> </w:t>
      </w:r>
      <w:r w:rsidRPr="002A469C">
        <w:rPr>
          <w:color w:val="auto"/>
          <w:szCs w:val="24"/>
          <w:lang w:eastAsia="en-AU"/>
        </w:rPr>
        <w:t xml:space="preserve">and in response to the additional information provided by the applicants. </w:t>
      </w:r>
    </w:p>
    <w:p w:rsidR="003B13E7" w:rsidRPr="002A469C" w:rsidRDefault="003B13E7" w:rsidP="001C1239">
      <w:pPr>
        <w:pStyle w:val="SubmissionNormal"/>
        <w:numPr>
          <w:ilvl w:val="0"/>
          <w:numId w:val="25"/>
        </w:numPr>
        <w:ind w:left="1094" w:hanging="737"/>
        <w:rPr>
          <w:color w:val="auto"/>
          <w:szCs w:val="24"/>
          <w:lang w:eastAsia="en-AU"/>
        </w:rPr>
      </w:pPr>
      <w:r w:rsidRPr="002A469C">
        <w:rPr>
          <w:color w:val="auto"/>
          <w:szCs w:val="24"/>
          <w:lang w:eastAsia="en-AU"/>
        </w:rPr>
        <w:t xml:space="preserve">On 25 July 2015 the </w:t>
      </w:r>
      <w:r w:rsidR="00E70AD3" w:rsidRPr="002A469C">
        <w:rPr>
          <w:color w:val="auto"/>
          <w:szCs w:val="24"/>
          <w:lang w:eastAsia="en-AU"/>
        </w:rPr>
        <w:t>AAT</w:t>
      </w:r>
      <w:r w:rsidRPr="002A469C">
        <w:rPr>
          <w:color w:val="auto"/>
          <w:szCs w:val="24"/>
          <w:lang w:eastAsia="en-AU"/>
        </w:rPr>
        <w:t xml:space="preserve"> set aside the </w:t>
      </w:r>
      <w:r w:rsidR="00C71C01">
        <w:rPr>
          <w:color w:val="auto"/>
          <w:szCs w:val="24"/>
          <w:lang w:eastAsia="en-AU"/>
        </w:rPr>
        <w:t xml:space="preserve">Commission's </w:t>
      </w:r>
      <w:r w:rsidR="008E798D">
        <w:rPr>
          <w:color w:val="auto"/>
          <w:szCs w:val="24"/>
          <w:lang w:eastAsia="en-AU"/>
        </w:rPr>
        <w:t>decision to</w:t>
      </w:r>
      <w:r w:rsidR="00C71C01">
        <w:rPr>
          <w:color w:val="auto"/>
          <w:szCs w:val="24"/>
          <w:lang w:eastAsia="en-AU"/>
        </w:rPr>
        <w:t xml:space="preserve"> grant the Interim Exemption</w:t>
      </w:r>
      <w:r w:rsidRPr="002A469C">
        <w:rPr>
          <w:color w:val="auto"/>
          <w:szCs w:val="24"/>
          <w:lang w:eastAsia="en-AU"/>
        </w:rPr>
        <w:t xml:space="preserve"> and remitted the matter to the Commission. The </w:t>
      </w:r>
      <w:r w:rsidR="00C86530" w:rsidRPr="002A469C">
        <w:rPr>
          <w:color w:val="auto"/>
          <w:szCs w:val="24"/>
          <w:lang w:eastAsia="en-AU"/>
        </w:rPr>
        <w:t xml:space="preserve">Interim Application </w:t>
      </w:r>
      <w:r w:rsidRPr="002A469C">
        <w:rPr>
          <w:color w:val="auto"/>
          <w:szCs w:val="24"/>
          <w:lang w:eastAsia="en-AU"/>
        </w:rPr>
        <w:t xml:space="preserve">has yet to be reconsidered by the Commission. </w:t>
      </w:r>
    </w:p>
    <w:p w:rsidR="005A1D53" w:rsidRPr="002A469C" w:rsidRDefault="005A1D53" w:rsidP="005A1D53">
      <w:pPr>
        <w:pStyle w:val="SubmissionNormal"/>
        <w:numPr>
          <w:ilvl w:val="0"/>
          <w:numId w:val="25"/>
        </w:numPr>
        <w:ind w:left="1094" w:hanging="737"/>
        <w:rPr>
          <w:color w:val="auto"/>
          <w:szCs w:val="24"/>
          <w:lang w:eastAsia="en-AU"/>
        </w:rPr>
      </w:pPr>
      <w:r>
        <w:rPr>
          <w:color w:val="auto"/>
          <w:szCs w:val="24"/>
          <w:lang w:eastAsia="en-AU"/>
        </w:rPr>
        <w:t xml:space="preserve">On 4 and </w:t>
      </w:r>
      <w:r w:rsidRPr="002A469C">
        <w:rPr>
          <w:color w:val="auto"/>
          <w:szCs w:val="24"/>
          <w:lang w:eastAsia="en-AU"/>
        </w:rPr>
        <w:t xml:space="preserve">11 September 2015 the Commission received </w:t>
      </w:r>
      <w:r>
        <w:rPr>
          <w:color w:val="auto"/>
          <w:szCs w:val="24"/>
          <w:lang w:eastAsia="en-AU"/>
        </w:rPr>
        <w:t>requests from two</w:t>
      </w:r>
      <w:r w:rsidRPr="002A469C">
        <w:rPr>
          <w:color w:val="auto"/>
          <w:szCs w:val="24"/>
          <w:lang w:eastAsia="en-AU"/>
        </w:rPr>
        <w:t xml:space="preserve"> further ADEs to</w:t>
      </w:r>
      <w:r>
        <w:rPr>
          <w:color w:val="auto"/>
          <w:szCs w:val="24"/>
          <w:lang w:eastAsia="en-AU"/>
        </w:rPr>
        <w:t xml:space="preserve"> join the Application, namely </w:t>
      </w:r>
      <w:r w:rsidRPr="00F268A0">
        <w:rPr>
          <w:color w:val="auto"/>
          <w:szCs w:val="24"/>
          <w:lang w:eastAsia="en-AU"/>
        </w:rPr>
        <w:t>Multitas</w:t>
      </w:r>
      <w:r>
        <w:rPr>
          <w:color w:val="auto"/>
          <w:szCs w:val="24"/>
          <w:lang w:eastAsia="en-AU"/>
        </w:rPr>
        <w:t xml:space="preserve">k Human Resource Foundation Ltd and </w:t>
      </w:r>
      <w:r w:rsidRPr="007629CA">
        <w:rPr>
          <w:color w:val="auto"/>
          <w:szCs w:val="24"/>
          <w:lang w:eastAsia="en-AU"/>
        </w:rPr>
        <w:t>Vincent Industries Inc.</w:t>
      </w:r>
      <w:r w:rsidRPr="002A469C">
        <w:rPr>
          <w:color w:val="auto"/>
          <w:szCs w:val="24"/>
          <w:lang w:eastAsia="en-AU"/>
        </w:rPr>
        <w:t xml:space="preserve"> </w:t>
      </w:r>
      <w:r>
        <w:rPr>
          <w:color w:val="auto"/>
          <w:szCs w:val="24"/>
          <w:lang w:eastAsia="en-AU"/>
        </w:rPr>
        <w:t xml:space="preserve">Those requests were granted. </w:t>
      </w:r>
    </w:p>
    <w:p w:rsidR="00073207" w:rsidRPr="002A469C" w:rsidRDefault="007629CA" w:rsidP="007629CA">
      <w:pPr>
        <w:pStyle w:val="SubmissionNormal"/>
        <w:numPr>
          <w:ilvl w:val="0"/>
          <w:numId w:val="25"/>
        </w:numPr>
        <w:ind w:left="1094" w:hanging="737"/>
        <w:rPr>
          <w:color w:val="auto"/>
          <w:szCs w:val="24"/>
          <w:lang w:eastAsia="en-AU"/>
        </w:rPr>
      </w:pPr>
      <w:r>
        <w:rPr>
          <w:color w:val="auto"/>
          <w:szCs w:val="24"/>
          <w:lang w:eastAsia="en-AU"/>
        </w:rPr>
        <w:t xml:space="preserve">On </w:t>
      </w:r>
      <w:r w:rsidR="00073207" w:rsidRPr="002A469C">
        <w:rPr>
          <w:color w:val="auto"/>
          <w:szCs w:val="24"/>
          <w:lang w:eastAsia="en-AU"/>
        </w:rPr>
        <w:t xml:space="preserve">11 </w:t>
      </w:r>
      <w:r w:rsidR="00840F01">
        <w:rPr>
          <w:color w:val="auto"/>
          <w:szCs w:val="24"/>
          <w:lang w:eastAsia="en-AU"/>
        </w:rPr>
        <w:t xml:space="preserve">and 15 </w:t>
      </w:r>
      <w:r w:rsidR="00073207" w:rsidRPr="002A469C">
        <w:rPr>
          <w:color w:val="auto"/>
          <w:szCs w:val="24"/>
          <w:lang w:eastAsia="en-AU"/>
        </w:rPr>
        <w:t xml:space="preserve">September 2015 the Commission </w:t>
      </w:r>
      <w:r w:rsidR="005A1D53">
        <w:rPr>
          <w:color w:val="auto"/>
          <w:szCs w:val="24"/>
          <w:lang w:eastAsia="en-AU"/>
        </w:rPr>
        <w:t xml:space="preserve">also </w:t>
      </w:r>
      <w:r w:rsidR="00073207" w:rsidRPr="002A469C">
        <w:rPr>
          <w:color w:val="auto"/>
          <w:szCs w:val="24"/>
          <w:lang w:eastAsia="en-AU"/>
        </w:rPr>
        <w:t xml:space="preserve">received </w:t>
      </w:r>
      <w:r w:rsidR="00455612">
        <w:rPr>
          <w:color w:val="auto"/>
          <w:szCs w:val="24"/>
          <w:lang w:eastAsia="en-AU"/>
        </w:rPr>
        <w:t>requests</w:t>
      </w:r>
      <w:r>
        <w:rPr>
          <w:color w:val="auto"/>
          <w:szCs w:val="24"/>
          <w:lang w:eastAsia="en-AU"/>
        </w:rPr>
        <w:t xml:space="preserve"> from </w:t>
      </w:r>
      <w:r w:rsidR="005A1D53">
        <w:rPr>
          <w:color w:val="auto"/>
          <w:szCs w:val="24"/>
          <w:lang w:eastAsia="en-AU"/>
        </w:rPr>
        <w:t xml:space="preserve">Jiffy Services and </w:t>
      </w:r>
      <w:r w:rsidR="005A1D53" w:rsidRPr="00974B2A">
        <w:rPr>
          <w:color w:val="auto"/>
          <w:szCs w:val="24"/>
          <w:lang w:eastAsia="en-AU"/>
        </w:rPr>
        <w:t xml:space="preserve">Tasmanian Association of Disabled Persons </w:t>
      </w:r>
      <w:r w:rsidR="005A1D53">
        <w:rPr>
          <w:color w:val="auto"/>
          <w:szCs w:val="24"/>
          <w:lang w:eastAsia="en-AU"/>
        </w:rPr>
        <w:t xml:space="preserve">Abilities Centre respectively. </w:t>
      </w:r>
      <w:r w:rsidR="00455612">
        <w:rPr>
          <w:color w:val="auto"/>
          <w:szCs w:val="24"/>
          <w:lang w:eastAsia="en-AU"/>
        </w:rPr>
        <w:t xml:space="preserve">Those requests were granted. </w:t>
      </w:r>
    </w:p>
    <w:p w:rsidR="00CD560B" w:rsidRDefault="00D941F5" w:rsidP="00CD4EED">
      <w:pPr>
        <w:pStyle w:val="SubmissionNormal"/>
        <w:numPr>
          <w:ilvl w:val="0"/>
          <w:numId w:val="25"/>
        </w:numPr>
        <w:ind w:left="1094" w:hanging="737"/>
        <w:rPr>
          <w:color w:val="auto"/>
          <w:szCs w:val="24"/>
          <w:lang w:eastAsia="en-AU"/>
        </w:rPr>
      </w:pPr>
      <w:r w:rsidRPr="005957FB">
        <w:rPr>
          <w:color w:val="auto"/>
          <w:szCs w:val="24"/>
          <w:lang w:eastAsia="en-AU"/>
        </w:rPr>
        <w:t>On 15 September 2015 the Commission received an em</w:t>
      </w:r>
      <w:r w:rsidR="005C5B72" w:rsidRPr="005957FB">
        <w:rPr>
          <w:color w:val="auto"/>
          <w:szCs w:val="24"/>
          <w:lang w:eastAsia="en-AU"/>
        </w:rPr>
        <w:t xml:space="preserve">bargoed copy of the KPMG report, </w:t>
      </w:r>
      <w:r w:rsidR="00E70AD3" w:rsidRPr="005957FB">
        <w:rPr>
          <w:color w:val="auto"/>
          <w:szCs w:val="24"/>
          <w:lang w:eastAsia="en-AU"/>
        </w:rPr>
        <w:t>‘</w:t>
      </w:r>
      <w:r w:rsidR="005C5B72" w:rsidRPr="005957FB">
        <w:rPr>
          <w:color w:val="auto"/>
          <w:szCs w:val="24"/>
          <w:lang w:eastAsia="en-AU"/>
        </w:rPr>
        <w:t>Assessing the impact of increasing wage costs on Australian Disability Enterprises</w:t>
      </w:r>
      <w:r w:rsidR="00E70AD3" w:rsidRPr="005957FB">
        <w:rPr>
          <w:color w:val="auto"/>
          <w:szCs w:val="24"/>
          <w:lang w:eastAsia="en-AU"/>
        </w:rPr>
        <w:t>’</w:t>
      </w:r>
      <w:r w:rsidR="005C5B72" w:rsidRPr="005957FB">
        <w:rPr>
          <w:color w:val="auto"/>
          <w:szCs w:val="24"/>
          <w:lang w:eastAsia="en-AU"/>
        </w:rPr>
        <w:t xml:space="preserve">. The embargo was lifted on 30 September 2015 and the report loaded onto the Commission website with an </w:t>
      </w:r>
      <w:r w:rsidR="00197FDF" w:rsidRPr="005957FB">
        <w:rPr>
          <w:color w:val="auto"/>
          <w:szCs w:val="24"/>
          <w:lang w:eastAsia="en-AU"/>
        </w:rPr>
        <w:t>invitation</w:t>
      </w:r>
      <w:r w:rsidR="005C5B72" w:rsidRPr="005957FB">
        <w:rPr>
          <w:color w:val="auto"/>
          <w:szCs w:val="24"/>
          <w:lang w:eastAsia="en-AU"/>
        </w:rPr>
        <w:t xml:space="preserve"> for further submissions on the report. No </w:t>
      </w:r>
      <w:r w:rsidR="00197FDF" w:rsidRPr="005957FB">
        <w:rPr>
          <w:color w:val="auto"/>
          <w:szCs w:val="24"/>
          <w:lang w:eastAsia="en-AU"/>
        </w:rPr>
        <w:t>submissions</w:t>
      </w:r>
      <w:r w:rsidR="005C5B72" w:rsidRPr="005957FB">
        <w:rPr>
          <w:color w:val="auto"/>
          <w:szCs w:val="24"/>
          <w:lang w:eastAsia="en-AU"/>
        </w:rPr>
        <w:t xml:space="preserve"> were received.</w:t>
      </w:r>
      <w:r w:rsidR="005957FB">
        <w:rPr>
          <w:color w:val="auto"/>
          <w:szCs w:val="24"/>
          <w:lang w:eastAsia="en-AU"/>
        </w:rPr>
        <w:t xml:space="preserve"> </w:t>
      </w:r>
      <w:r w:rsidR="00CD560B" w:rsidRPr="005957FB">
        <w:rPr>
          <w:color w:val="auto"/>
          <w:szCs w:val="24"/>
          <w:lang w:eastAsia="en-AU"/>
        </w:rPr>
        <w:t>Submissions ultimately closed on 23 October 2015.</w:t>
      </w:r>
    </w:p>
    <w:p w:rsidR="005A1D53" w:rsidRPr="005957FB" w:rsidRDefault="005A1D53" w:rsidP="00CD4EED">
      <w:pPr>
        <w:pStyle w:val="SubmissionNormal"/>
        <w:numPr>
          <w:ilvl w:val="0"/>
          <w:numId w:val="25"/>
        </w:numPr>
        <w:ind w:left="1094" w:hanging="737"/>
        <w:rPr>
          <w:color w:val="auto"/>
          <w:szCs w:val="24"/>
          <w:lang w:eastAsia="en-AU"/>
        </w:rPr>
      </w:pPr>
      <w:r>
        <w:rPr>
          <w:color w:val="auto"/>
          <w:szCs w:val="24"/>
          <w:lang w:eastAsia="en-AU"/>
        </w:rPr>
        <w:t xml:space="preserve">On 18 December 2015 the Commission granted a conditional exemption to the Commonwealth, National Disability Services on behalf </w:t>
      </w:r>
      <w:r w:rsidR="003A3C14" w:rsidRPr="003A3C14">
        <w:rPr>
          <w:color w:val="auto"/>
          <w:szCs w:val="24"/>
          <w:lang w:eastAsia="en-AU"/>
        </w:rPr>
        <w:t>o</w:t>
      </w:r>
      <w:r w:rsidRPr="003A3C14">
        <w:rPr>
          <w:color w:val="auto"/>
          <w:szCs w:val="24"/>
          <w:lang w:eastAsia="en-AU"/>
        </w:rPr>
        <w:t>f</w:t>
      </w:r>
      <w:r>
        <w:rPr>
          <w:color w:val="auto"/>
          <w:szCs w:val="24"/>
          <w:lang w:eastAsia="en-AU"/>
        </w:rPr>
        <w:t xml:space="preserve"> its members, </w:t>
      </w:r>
      <w:r w:rsidRPr="00F268A0">
        <w:rPr>
          <w:color w:val="auto"/>
          <w:szCs w:val="24"/>
          <w:lang w:eastAsia="en-AU"/>
        </w:rPr>
        <w:t>Multitas</w:t>
      </w:r>
      <w:r>
        <w:rPr>
          <w:color w:val="auto"/>
          <w:szCs w:val="24"/>
          <w:lang w:eastAsia="en-AU"/>
        </w:rPr>
        <w:t xml:space="preserve">k Human Resource Foundation Ltd and </w:t>
      </w:r>
      <w:r w:rsidRPr="007629CA">
        <w:rPr>
          <w:color w:val="auto"/>
          <w:szCs w:val="24"/>
          <w:lang w:eastAsia="en-AU"/>
        </w:rPr>
        <w:t>Vincent Industries Inc</w:t>
      </w:r>
      <w:r w:rsidR="004318CA">
        <w:rPr>
          <w:color w:val="auto"/>
          <w:szCs w:val="24"/>
          <w:lang w:eastAsia="en-AU"/>
        </w:rPr>
        <w:t>, attached as Annexure A</w:t>
      </w:r>
      <w:bookmarkStart w:id="0" w:name="_GoBack"/>
      <w:bookmarkEnd w:id="0"/>
      <w:r>
        <w:rPr>
          <w:color w:val="auto"/>
          <w:szCs w:val="24"/>
          <w:lang w:eastAsia="en-AU"/>
        </w:rPr>
        <w:t xml:space="preserve">. The Commission </w:t>
      </w:r>
      <w:r w:rsidR="00FC1AFD">
        <w:rPr>
          <w:color w:val="auto"/>
          <w:szCs w:val="24"/>
          <w:lang w:eastAsia="en-AU"/>
        </w:rPr>
        <w:t>omitted</w:t>
      </w:r>
      <w:r>
        <w:rPr>
          <w:color w:val="auto"/>
          <w:szCs w:val="24"/>
          <w:lang w:eastAsia="en-AU"/>
        </w:rPr>
        <w:t xml:space="preserve"> to include Jiffy Services and </w:t>
      </w:r>
      <w:r w:rsidRPr="00974B2A">
        <w:rPr>
          <w:color w:val="auto"/>
          <w:szCs w:val="24"/>
          <w:lang w:eastAsia="en-AU"/>
        </w:rPr>
        <w:t xml:space="preserve">Tasmanian Association of Disabled Persons </w:t>
      </w:r>
      <w:r>
        <w:rPr>
          <w:color w:val="auto"/>
          <w:szCs w:val="24"/>
          <w:lang w:eastAsia="en-AU"/>
        </w:rPr>
        <w:t>Abilities Centre</w:t>
      </w:r>
      <w:r w:rsidR="00FD239B">
        <w:rPr>
          <w:color w:val="auto"/>
          <w:szCs w:val="24"/>
          <w:lang w:eastAsia="en-AU"/>
        </w:rPr>
        <w:t xml:space="preserve"> in that exemption.</w:t>
      </w:r>
    </w:p>
    <w:p w:rsidR="003B13E7" w:rsidRPr="002A469C" w:rsidRDefault="003B13E7" w:rsidP="003B3A91">
      <w:pPr>
        <w:pStyle w:val="Heading1"/>
        <w:rPr>
          <w:lang w:eastAsia="en-AU"/>
        </w:rPr>
      </w:pPr>
      <w:r w:rsidRPr="002A469C">
        <w:rPr>
          <w:lang w:eastAsia="en-AU"/>
        </w:rPr>
        <w:t>Consideration by the Commission</w:t>
      </w:r>
    </w:p>
    <w:p w:rsidR="00FD239B" w:rsidRDefault="00FD239B" w:rsidP="00DB4865">
      <w:pPr>
        <w:pStyle w:val="SubmissionNormal"/>
        <w:numPr>
          <w:ilvl w:val="0"/>
          <w:numId w:val="25"/>
        </w:numPr>
        <w:ind w:left="1094" w:hanging="737"/>
        <w:rPr>
          <w:color w:val="auto"/>
          <w:szCs w:val="24"/>
          <w:lang w:eastAsia="en-AU"/>
        </w:rPr>
      </w:pPr>
      <w:r>
        <w:rPr>
          <w:color w:val="auto"/>
          <w:szCs w:val="24"/>
          <w:lang w:eastAsia="en-AU"/>
        </w:rPr>
        <w:t xml:space="preserve">For the reasons set out in the decision of the Commission of 18 December 2015 </w:t>
      </w:r>
      <w:r w:rsidR="00FC1AFD">
        <w:rPr>
          <w:color w:val="auto"/>
          <w:szCs w:val="24"/>
          <w:lang w:eastAsia="en-AU"/>
        </w:rPr>
        <w:t xml:space="preserve">in relation to the application for exemption dated 21 April 2015, </w:t>
      </w:r>
      <w:r>
        <w:rPr>
          <w:color w:val="auto"/>
          <w:szCs w:val="24"/>
          <w:lang w:eastAsia="en-AU"/>
        </w:rPr>
        <w:t>it is reasonable to grant an exemption on the same terms</w:t>
      </w:r>
      <w:r w:rsidR="005C725C">
        <w:rPr>
          <w:color w:val="auto"/>
          <w:szCs w:val="24"/>
          <w:lang w:eastAsia="en-AU"/>
        </w:rPr>
        <w:t xml:space="preserve"> as the exemption granted by the Commission on 18 December 2015</w:t>
      </w:r>
      <w:r w:rsidR="00FC1AFD">
        <w:rPr>
          <w:color w:val="auto"/>
          <w:szCs w:val="24"/>
          <w:lang w:eastAsia="en-AU"/>
        </w:rPr>
        <w:t>,</w:t>
      </w:r>
      <w:r>
        <w:rPr>
          <w:color w:val="auto"/>
          <w:szCs w:val="24"/>
          <w:lang w:eastAsia="en-AU"/>
        </w:rPr>
        <w:t xml:space="preserve"> to Jiffy Services and </w:t>
      </w:r>
      <w:r w:rsidRPr="00974B2A">
        <w:rPr>
          <w:color w:val="auto"/>
          <w:szCs w:val="24"/>
          <w:lang w:eastAsia="en-AU"/>
        </w:rPr>
        <w:t xml:space="preserve">Tasmanian Association of Disabled Persons </w:t>
      </w:r>
      <w:r>
        <w:rPr>
          <w:color w:val="auto"/>
          <w:szCs w:val="24"/>
          <w:lang w:eastAsia="en-AU"/>
        </w:rPr>
        <w:t xml:space="preserve">Abilities Centre. </w:t>
      </w:r>
    </w:p>
    <w:p w:rsidR="003B13E7" w:rsidRPr="004D1483" w:rsidRDefault="003F1DEC" w:rsidP="003F1DEC">
      <w:pPr>
        <w:pStyle w:val="Heading1"/>
        <w:rPr>
          <w:lang w:eastAsia="en-AU"/>
        </w:rPr>
      </w:pPr>
      <w:r>
        <w:rPr>
          <w:lang w:eastAsia="en-AU"/>
        </w:rPr>
        <w:lastRenderedPageBreak/>
        <w:t>Avenues</w:t>
      </w:r>
      <w:r w:rsidR="003B13E7" w:rsidRPr="004D1483">
        <w:rPr>
          <w:lang w:eastAsia="en-AU"/>
        </w:rPr>
        <w:t xml:space="preserve"> </w:t>
      </w:r>
      <w:r w:rsidR="00753DB7">
        <w:rPr>
          <w:lang w:eastAsia="en-AU"/>
        </w:rPr>
        <w:t>f</w:t>
      </w:r>
      <w:r w:rsidR="003B13E7" w:rsidRPr="004D1483">
        <w:rPr>
          <w:lang w:eastAsia="en-AU"/>
        </w:rPr>
        <w:t xml:space="preserve">or </w:t>
      </w:r>
      <w:r w:rsidR="002B4FDD">
        <w:rPr>
          <w:lang w:eastAsia="en-AU"/>
        </w:rPr>
        <w:t>r</w:t>
      </w:r>
      <w:r w:rsidR="003B13E7" w:rsidRPr="004D1483">
        <w:rPr>
          <w:lang w:eastAsia="en-AU"/>
        </w:rPr>
        <w:t>eview</w:t>
      </w:r>
    </w:p>
    <w:p w:rsidR="003B13E7" w:rsidRPr="004D1483" w:rsidRDefault="003B13E7" w:rsidP="005C725C">
      <w:pPr>
        <w:pStyle w:val="SubmissionNormal"/>
        <w:keepNext/>
        <w:numPr>
          <w:ilvl w:val="0"/>
          <w:numId w:val="25"/>
        </w:numPr>
        <w:ind w:left="1094" w:hanging="737"/>
        <w:rPr>
          <w:color w:val="auto"/>
          <w:szCs w:val="24"/>
          <w:lang w:eastAsia="en-AU"/>
        </w:rPr>
      </w:pPr>
      <w:r w:rsidRPr="004D1483">
        <w:rPr>
          <w:color w:val="auto"/>
          <w:szCs w:val="24"/>
          <w:lang w:eastAsia="en-AU"/>
        </w:rPr>
        <w:t xml:space="preserve">Subject to the </w:t>
      </w:r>
      <w:r w:rsidRPr="003F1DEC">
        <w:rPr>
          <w:i/>
          <w:color w:val="auto"/>
          <w:szCs w:val="24"/>
          <w:lang w:eastAsia="en-AU"/>
        </w:rPr>
        <w:t>Administrative Appeals Tribunal Act 1975</w:t>
      </w:r>
      <w:r w:rsidRPr="004D1483">
        <w:rPr>
          <w:color w:val="auto"/>
          <w:szCs w:val="24"/>
          <w:lang w:eastAsia="en-AU"/>
        </w:rPr>
        <w:t xml:space="preserve"> (Cth), any person whose interests are affected by this decision may apply to the Administrative Appeals Tribunal for a review of the decision.</w:t>
      </w:r>
    </w:p>
    <w:p w:rsidR="003B13E7" w:rsidRDefault="003B13E7" w:rsidP="00F554C0">
      <w:pPr>
        <w:keepNext/>
      </w:pPr>
      <w:r w:rsidRPr="002A469C">
        <w:t xml:space="preserve">Dated this </w:t>
      </w:r>
      <w:r w:rsidR="00FD239B">
        <w:t>22</w:t>
      </w:r>
      <w:r w:rsidR="00FD239B" w:rsidRPr="00FD239B">
        <w:rPr>
          <w:vertAlign w:val="superscript"/>
        </w:rPr>
        <w:t>nd</w:t>
      </w:r>
      <w:r w:rsidR="00FD239B">
        <w:t xml:space="preserve"> </w:t>
      </w:r>
      <w:r w:rsidRPr="002A469C">
        <w:t xml:space="preserve">day of </w:t>
      </w:r>
      <w:r w:rsidR="00026634" w:rsidRPr="002A469C">
        <w:t>December</w:t>
      </w:r>
      <w:r w:rsidR="0044155D">
        <w:t xml:space="preserve"> 2015</w:t>
      </w:r>
    </w:p>
    <w:p w:rsidR="0044155D" w:rsidRDefault="0044155D" w:rsidP="0044155D">
      <w:pPr>
        <w:keepNext/>
      </w:pPr>
      <w:r w:rsidRPr="0044155D">
        <w:rPr>
          <w:noProof/>
          <w:lang w:eastAsia="en-AU"/>
        </w:rPr>
        <w:drawing>
          <wp:inline distT="0" distB="0" distL="0" distR="0">
            <wp:extent cx="2012950" cy="1187450"/>
            <wp:effectExtent l="0" t="0" r="6350" b="0"/>
            <wp:docPr id="2" name="Picture 2" descr="I:\Admin\#Gillian's signature\Gillian's electronic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min\#Gillian's signature\Gillian's electronic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0" cy="1187450"/>
                    </a:xfrm>
                    <a:prstGeom prst="rect">
                      <a:avLst/>
                    </a:prstGeom>
                    <a:noFill/>
                    <a:ln>
                      <a:noFill/>
                    </a:ln>
                  </pic:spPr>
                </pic:pic>
              </a:graphicData>
            </a:graphic>
          </wp:inline>
        </w:drawing>
      </w:r>
    </w:p>
    <w:p w:rsidR="003B13E7" w:rsidRDefault="003B13E7" w:rsidP="0044155D">
      <w:pPr>
        <w:keepNext/>
      </w:pPr>
      <w:r w:rsidRPr="002A469C">
        <w:t xml:space="preserve">Signed by the President, Professor Gillian Triggs, </w:t>
      </w:r>
      <w:r w:rsidRPr="002A469C">
        <w:br/>
        <w:t>on behalf of the Commission.</w:t>
      </w:r>
    </w:p>
    <w:p w:rsidR="00E320AE" w:rsidRDefault="00E320AE">
      <w:pPr>
        <w:spacing w:before="0" w:after="0"/>
      </w:pPr>
      <w:r>
        <w:br w:type="page"/>
      </w:r>
    </w:p>
    <w:p w:rsidR="00E320AE" w:rsidRDefault="00E320AE" w:rsidP="00E320AE">
      <w:pPr>
        <w:pStyle w:val="SubmissionNormal"/>
        <w:tabs>
          <w:tab w:val="clear" w:pos="720"/>
          <w:tab w:val="left" w:pos="7069"/>
        </w:tabs>
        <w:jc w:val="center"/>
        <w:rPr>
          <w:b/>
          <w:color w:val="auto"/>
          <w:szCs w:val="24"/>
          <w:lang w:eastAsia="en-AU"/>
        </w:rPr>
      </w:pPr>
      <w:r>
        <w:rPr>
          <w:b/>
          <w:color w:val="auto"/>
          <w:szCs w:val="24"/>
          <w:lang w:eastAsia="en-AU"/>
        </w:rPr>
        <w:lastRenderedPageBreak/>
        <w:t>ANNEXURE A</w:t>
      </w:r>
    </w:p>
    <w:p w:rsidR="00E320AE" w:rsidRPr="003B3A91" w:rsidRDefault="00E320AE" w:rsidP="00E320AE">
      <w:pPr>
        <w:pStyle w:val="SubmissionNormal"/>
        <w:tabs>
          <w:tab w:val="clear" w:pos="720"/>
          <w:tab w:val="left" w:pos="7069"/>
        </w:tabs>
        <w:rPr>
          <w:b/>
          <w:color w:val="auto"/>
          <w:szCs w:val="24"/>
          <w:lang w:eastAsia="en-AU"/>
        </w:rPr>
      </w:pPr>
      <w:r w:rsidRPr="003B3A91">
        <w:rPr>
          <w:b/>
          <w:color w:val="auto"/>
          <w:szCs w:val="24"/>
          <w:lang w:eastAsia="en-AU"/>
        </w:rPr>
        <w:t>AUSTRALIAN HUMAN RIGHTS COMMISSION</w:t>
      </w:r>
      <w:r w:rsidRPr="003B3A91">
        <w:rPr>
          <w:b/>
          <w:color w:val="auto"/>
          <w:szCs w:val="24"/>
          <w:lang w:eastAsia="en-AU"/>
        </w:rPr>
        <w:br/>
      </w:r>
      <w:r w:rsidRPr="00270509">
        <w:rPr>
          <w:b/>
          <w:i/>
          <w:color w:val="auto"/>
          <w:szCs w:val="24"/>
          <w:lang w:eastAsia="en-AU"/>
        </w:rPr>
        <w:t>DISABILITY DISCRIMINATION ACT 1992</w:t>
      </w:r>
      <w:r w:rsidRPr="003B3A91">
        <w:rPr>
          <w:b/>
          <w:color w:val="auto"/>
          <w:szCs w:val="24"/>
          <w:lang w:eastAsia="en-AU"/>
        </w:rPr>
        <w:t xml:space="preserve"> (CTH), s 55(1) </w:t>
      </w:r>
      <w:r w:rsidRPr="003B3A91">
        <w:rPr>
          <w:b/>
          <w:color w:val="auto"/>
          <w:szCs w:val="24"/>
          <w:lang w:eastAsia="en-AU"/>
        </w:rPr>
        <w:br/>
        <w:t>NOTICE OF GRANT OF EXEMPTION</w:t>
      </w:r>
    </w:p>
    <w:p w:rsidR="00E320AE" w:rsidRPr="00270509" w:rsidRDefault="00E320AE" w:rsidP="00E320AE">
      <w:pPr>
        <w:pStyle w:val="Heading1"/>
        <w:numPr>
          <w:ilvl w:val="0"/>
          <w:numId w:val="0"/>
        </w:numPr>
      </w:pPr>
      <w:r w:rsidRPr="00270509">
        <w:t>Exemption</w:t>
      </w:r>
    </w:p>
    <w:p w:rsidR="00E320AE" w:rsidRDefault="00E320AE" w:rsidP="00E320AE">
      <w:pPr>
        <w:pStyle w:val="SubmissionNormal"/>
        <w:tabs>
          <w:tab w:val="clear" w:pos="720"/>
        </w:tabs>
        <w:rPr>
          <w:color w:val="auto"/>
          <w:szCs w:val="24"/>
          <w:lang w:eastAsia="en-AU"/>
        </w:rPr>
      </w:pPr>
      <w:r w:rsidRPr="002A469C">
        <w:rPr>
          <w:color w:val="auto"/>
          <w:szCs w:val="24"/>
          <w:lang w:eastAsia="en-AU"/>
        </w:rPr>
        <w:t xml:space="preserve">By this instrument, </w:t>
      </w:r>
      <w:r>
        <w:rPr>
          <w:color w:val="auto"/>
          <w:szCs w:val="24"/>
          <w:lang w:eastAsia="en-AU"/>
        </w:rPr>
        <w:t>pursuant to</w:t>
      </w:r>
      <w:r w:rsidRPr="002A469C">
        <w:rPr>
          <w:color w:val="auto"/>
          <w:szCs w:val="24"/>
          <w:lang w:eastAsia="en-AU"/>
        </w:rPr>
        <w:t xml:space="preserve"> section 55(1) of the </w:t>
      </w:r>
      <w:r w:rsidRPr="00846B13">
        <w:rPr>
          <w:i/>
          <w:color w:val="auto"/>
          <w:szCs w:val="24"/>
          <w:lang w:eastAsia="en-AU"/>
        </w:rPr>
        <w:t>Disability Discrimination Act 1992</w:t>
      </w:r>
      <w:r w:rsidRPr="002A469C">
        <w:rPr>
          <w:color w:val="auto"/>
          <w:szCs w:val="24"/>
          <w:lang w:eastAsia="en-AU"/>
        </w:rPr>
        <w:t xml:space="preserve"> (Cth) (Disability Discrimination Act), the Australian Human Rights Commission</w:t>
      </w:r>
      <w:r>
        <w:rPr>
          <w:color w:val="auto"/>
          <w:szCs w:val="24"/>
          <w:lang w:eastAsia="en-AU"/>
        </w:rPr>
        <w:t xml:space="preserve"> (Commission)</w:t>
      </w:r>
      <w:r w:rsidRPr="002A469C">
        <w:rPr>
          <w:color w:val="auto"/>
          <w:szCs w:val="24"/>
          <w:lang w:eastAsia="en-AU"/>
        </w:rPr>
        <w:t xml:space="preserve"> grants an exemption from the operation of sections 15, 24 and 29 of the Disability Discrimination Act to</w:t>
      </w:r>
      <w:r>
        <w:rPr>
          <w:color w:val="auto"/>
          <w:szCs w:val="24"/>
          <w:lang w:eastAsia="en-AU"/>
        </w:rPr>
        <w:t>:</w:t>
      </w:r>
    </w:p>
    <w:p w:rsidR="00E320AE" w:rsidRDefault="00E320AE" w:rsidP="00E320AE">
      <w:pPr>
        <w:pStyle w:val="SubmissionNormal"/>
        <w:numPr>
          <w:ilvl w:val="0"/>
          <w:numId w:val="34"/>
        </w:numPr>
        <w:rPr>
          <w:color w:val="auto"/>
          <w:szCs w:val="24"/>
          <w:lang w:eastAsia="en-AU"/>
        </w:rPr>
      </w:pPr>
      <w:r w:rsidRPr="002A469C">
        <w:rPr>
          <w:color w:val="auto"/>
          <w:szCs w:val="24"/>
          <w:lang w:eastAsia="en-AU"/>
        </w:rPr>
        <w:t>the Commonwealth</w:t>
      </w:r>
      <w:r>
        <w:rPr>
          <w:color w:val="auto"/>
          <w:szCs w:val="24"/>
          <w:lang w:eastAsia="en-AU"/>
        </w:rPr>
        <w:t>,</w:t>
      </w:r>
      <w:r w:rsidRPr="002A469C">
        <w:rPr>
          <w:color w:val="auto"/>
          <w:szCs w:val="24"/>
          <w:lang w:eastAsia="en-AU"/>
        </w:rPr>
        <w:t xml:space="preserve"> and </w:t>
      </w:r>
    </w:p>
    <w:p w:rsidR="00E320AE" w:rsidRDefault="00E320AE" w:rsidP="00E320AE">
      <w:pPr>
        <w:pStyle w:val="SubmissionNormal"/>
        <w:numPr>
          <w:ilvl w:val="0"/>
          <w:numId w:val="34"/>
        </w:numPr>
        <w:rPr>
          <w:color w:val="auto"/>
          <w:szCs w:val="24"/>
          <w:lang w:eastAsia="en-AU"/>
        </w:rPr>
      </w:pPr>
      <w:r>
        <w:rPr>
          <w:color w:val="auto"/>
          <w:szCs w:val="24"/>
          <w:lang w:eastAsia="en-AU"/>
        </w:rPr>
        <w:t xml:space="preserve">the following </w:t>
      </w:r>
      <w:r w:rsidRPr="002A469C">
        <w:rPr>
          <w:color w:val="auto"/>
          <w:szCs w:val="24"/>
          <w:lang w:eastAsia="en-AU"/>
        </w:rPr>
        <w:t>Australian Disability Enterprises (ADEs)</w:t>
      </w:r>
      <w:r>
        <w:rPr>
          <w:color w:val="auto"/>
          <w:szCs w:val="24"/>
          <w:lang w:eastAsia="en-AU"/>
        </w:rPr>
        <w:t>:</w:t>
      </w:r>
    </w:p>
    <w:p w:rsidR="00E320AE" w:rsidRDefault="00E320AE" w:rsidP="00E320AE">
      <w:pPr>
        <w:pStyle w:val="SubmissionNormal"/>
        <w:numPr>
          <w:ilvl w:val="1"/>
          <w:numId w:val="34"/>
        </w:numPr>
        <w:rPr>
          <w:color w:val="auto"/>
          <w:szCs w:val="24"/>
          <w:lang w:eastAsia="en-AU"/>
        </w:rPr>
      </w:pPr>
      <w:r>
        <w:rPr>
          <w:color w:val="auto"/>
          <w:szCs w:val="24"/>
          <w:lang w:eastAsia="en-AU"/>
        </w:rPr>
        <w:t>members of the National Disability Services (NDS),</w:t>
      </w:r>
    </w:p>
    <w:p w:rsidR="00E320AE" w:rsidRDefault="00E320AE" w:rsidP="00E320AE">
      <w:pPr>
        <w:pStyle w:val="SubmissionNormal"/>
        <w:numPr>
          <w:ilvl w:val="1"/>
          <w:numId w:val="34"/>
        </w:numPr>
        <w:rPr>
          <w:color w:val="auto"/>
          <w:szCs w:val="24"/>
          <w:lang w:eastAsia="en-AU"/>
        </w:rPr>
      </w:pPr>
      <w:r w:rsidRPr="00F268A0">
        <w:rPr>
          <w:color w:val="auto"/>
          <w:szCs w:val="24"/>
          <w:lang w:eastAsia="en-AU"/>
        </w:rPr>
        <w:t>Multitas</w:t>
      </w:r>
      <w:r>
        <w:rPr>
          <w:color w:val="auto"/>
          <w:szCs w:val="24"/>
          <w:lang w:eastAsia="en-AU"/>
        </w:rPr>
        <w:t>k Human Resource Foundation Ltd, and</w:t>
      </w:r>
    </w:p>
    <w:p w:rsidR="00E320AE" w:rsidRDefault="00E320AE" w:rsidP="00E320AE">
      <w:pPr>
        <w:pStyle w:val="SubmissionNormal"/>
        <w:numPr>
          <w:ilvl w:val="1"/>
          <w:numId w:val="34"/>
        </w:numPr>
        <w:rPr>
          <w:color w:val="auto"/>
          <w:szCs w:val="24"/>
          <w:lang w:eastAsia="en-AU"/>
        </w:rPr>
      </w:pPr>
      <w:r>
        <w:rPr>
          <w:color w:val="auto"/>
          <w:szCs w:val="24"/>
          <w:lang w:eastAsia="en-AU"/>
        </w:rPr>
        <w:t>Vincent Industries Inc.</w:t>
      </w:r>
    </w:p>
    <w:p w:rsidR="00E320AE" w:rsidRDefault="00E320AE" w:rsidP="00E320AE">
      <w:pPr>
        <w:pStyle w:val="SubmissionNormal"/>
        <w:tabs>
          <w:tab w:val="clear" w:pos="720"/>
        </w:tabs>
        <w:ind w:left="720"/>
        <w:rPr>
          <w:color w:val="auto"/>
          <w:szCs w:val="24"/>
          <w:lang w:eastAsia="en-AU"/>
        </w:rPr>
      </w:pPr>
      <w:r>
        <w:rPr>
          <w:color w:val="auto"/>
          <w:szCs w:val="24"/>
          <w:lang w:eastAsia="en-AU"/>
        </w:rPr>
        <w:t xml:space="preserve">in relation to which </w:t>
      </w:r>
      <w:r w:rsidRPr="002A469C">
        <w:rPr>
          <w:color w:val="auto"/>
          <w:szCs w:val="24"/>
          <w:lang w:eastAsia="en-AU"/>
        </w:rPr>
        <w:t xml:space="preserve">the Fair Work Commission </w:t>
      </w:r>
      <w:r>
        <w:rPr>
          <w:color w:val="auto"/>
          <w:szCs w:val="24"/>
          <w:lang w:eastAsia="en-AU"/>
        </w:rPr>
        <w:t>grants that ADE</w:t>
      </w:r>
      <w:r w:rsidRPr="002A469C">
        <w:rPr>
          <w:color w:val="auto"/>
          <w:szCs w:val="24"/>
          <w:lang w:eastAsia="en-AU"/>
        </w:rPr>
        <w:t xml:space="preserve"> a further transitional period pursuant to clause 14.6 of the Supported Employment Services Award 2010</w:t>
      </w:r>
      <w:r>
        <w:rPr>
          <w:color w:val="auto"/>
          <w:szCs w:val="24"/>
          <w:lang w:eastAsia="en-AU"/>
        </w:rPr>
        <w:t>,</w:t>
      </w:r>
    </w:p>
    <w:p w:rsidR="00E320AE" w:rsidRPr="002A469C" w:rsidRDefault="00E320AE" w:rsidP="00E320AE">
      <w:pPr>
        <w:pStyle w:val="SubmissionNormal"/>
        <w:tabs>
          <w:tab w:val="clear" w:pos="720"/>
        </w:tabs>
        <w:rPr>
          <w:color w:val="auto"/>
          <w:szCs w:val="24"/>
          <w:lang w:eastAsia="en-AU"/>
        </w:rPr>
      </w:pPr>
      <w:r w:rsidRPr="002A469C">
        <w:rPr>
          <w:color w:val="auto"/>
          <w:szCs w:val="24"/>
          <w:lang w:eastAsia="en-AU"/>
        </w:rPr>
        <w:t>in the following terms:</w:t>
      </w:r>
    </w:p>
    <w:p w:rsidR="00E320AE" w:rsidRPr="002A469C" w:rsidRDefault="00E320AE" w:rsidP="00E320AE">
      <w:pPr>
        <w:pStyle w:val="Heading2"/>
        <w:numPr>
          <w:ilvl w:val="0"/>
          <w:numId w:val="0"/>
        </w:numPr>
      </w:pPr>
      <w:r w:rsidRPr="002A469C">
        <w:t>Period of exemption</w:t>
      </w:r>
    </w:p>
    <w:p w:rsidR="00E320AE" w:rsidRPr="002A469C" w:rsidRDefault="00E320AE" w:rsidP="001A33D9">
      <w:pPr>
        <w:pStyle w:val="SubmissionNormal"/>
        <w:numPr>
          <w:ilvl w:val="0"/>
          <w:numId w:val="37"/>
        </w:numPr>
        <w:ind w:left="1134" w:hanging="774"/>
      </w:pPr>
      <w:r w:rsidRPr="002A469C">
        <w:t xml:space="preserve">The term of the exemption is for the </w:t>
      </w:r>
      <w:r w:rsidRPr="002A469C">
        <w:rPr>
          <w:color w:val="auto"/>
          <w:szCs w:val="24"/>
          <w:lang w:eastAsia="en-AU"/>
        </w:rPr>
        <w:t>following</w:t>
      </w:r>
      <w:r w:rsidRPr="002A469C">
        <w:t xml:space="preserve"> periods, whichever is applicable:</w:t>
      </w:r>
    </w:p>
    <w:p w:rsidR="00E320AE" w:rsidRPr="002A469C" w:rsidRDefault="00E320AE" w:rsidP="001A33D9">
      <w:pPr>
        <w:pStyle w:val="SubmissionNormal"/>
        <w:numPr>
          <w:ilvl w:val="1"/>
          <w:numId w:val="37"/>
        </w:numPr>
      </w:pPr>
      <w:r w:rsidRPr="002A469C">
        <w:t xml:space="preserve">For </w:t>
      </w:r>
      <w:r>
        <w:t xml:space="preserve">an </w:t>
      </w:r>
      <w:r w:rsidRPr="002A469C">
        <w:t>ADE</w:t>
      </w:r>
      <w:r>
        <w:t xml:space="preserve"> </w:t>
      </w:r>
      <w:r w:rsidRPr="002A469C">
        <w:rPr>
          <w:color w:val="auto"/>
          <w:szCs w:val="24"/>
          <w:lang w:eastAsia="en-AU"/>
        </w:rPr>
        <w:t>in relation to which the Fair Work Commission has granted a further transitional period pursuant to clause 14.6 of the Supported Employment Services Award 2010</w:t>
      </w:r>
      <w:r w:rsidRPr="002A469C">
        <w:t xml:space="preserve">, from the date of this </w:t>
      </w:r>
      <w:r w:rsidRPr="002A469C">
        <w:rPr>
          <w:color w:val="auto"/>
          <w:szCs w:val="24"/>
          <w:lang w:eastAsia="en-AU"/>
        </w:rPr>
        <w:t>instrument</w:t>
      </w:r>
      <w:r w:rsidRPr="002A469C">
        <w:t xml:space="preserve"> until the expiration of </w:t>
      </w:r>
      <w:r>
        <w:t>that</w:t>
      </w:r>
      <w:r w:rsidRPr="002A469C">
        <w:t xml:space="preserve"> further transitional period, and</w:t>
      </w:r>
    </w:p>
    <w:p w:rsidR="00E320AE" w:rsidRPr="002A469C" w:rsidDel="009E7E90" w:rsidRDefault="00E320AE" w:rsidP="001A33D9">
      <w:pPr>
        <w:pStyle w:val="SubmissionNormal"/>
        <w:numPr>
          <w:ilvl w:val="1"/>
          <w:numId w:val="37"/>
        </w:numPr>
      </w:pPr>
      <w:r w:rsidRPr="002A469C" w:rsidDel="009E7E90">
        <w:t xml:space="preserve">For the Commonwealth, from </w:t>
      </w:r>
      <w:r w:rsidRPr="002A469C" w:rsidDel="009E7E90">
        <w:rPr>
          <w:color w:val="auto"/>
          <w:szCs w:val="24"/>
          <w:lang w:eastAsia="en-AU"/>
        </w:rPr>
        <w:t>the</w:t>
      </w:r>
      <w:r w:rsidRPr="002A469C" w:rsidDel="009E7E90">
        <w:t xml:space="preserve"> date of this instrument until the expiration of any further transitional period granted by the Fair Work Commission to any ADE </w:t>
      </w:r>
      <w:r w:rsidRPr="002A469C" w:rsidDel="009E7E90">
        <w:rPr>
          <w:color w:val="auto"/>
          <w:szCs w:val="24"/>
          <w:lang w:eastAsia="en-AU"/>
        </w:rPr>
        <w:t>pursuant to clause 14.6 of the Supported Employment Services Award 2010</w:t>
      </w:r>
      <w:r w:rsidRPr="002A469C" w:rsidDel="009E7E90">
        <w:t>.</w:t>
      </w:r>
    </w:p>
    <w:p w:rsidR="00E320AE" w:rsidRPr="002A469C" w:rsidRDefault="00E320AE" w:rsidP="00E320AE">
      <w:pPr>
        <w:pStyle w:val="Heading2"/>
        <w:numPr>
          <w:ilvl w:val="0"/>
          <w:numId w:val="0"/>
        </w:numPr>
      </w:pPr>
      <w:r w:rsidRPr="002A469C">
        <w:t>Conditions</w:t>
      </w:r>
    </w:p>
    <w:p w:rsidR="00E320AE" w:rsidRPr="002A469C" w:rsidRDefault="00E320AE" w:rsidP="001A33D9">
      <w:pPr>
        <w:pStyle w:val="SubmissionNormal"/>
        <w:numPr>
          <w:ilvl w:val="0"/>
          <w:numId w:val="37"/>
        </w:numPr>
        <w:ind w:left="1094" w:hanging="737"/>
      </w:pPr>
      <w:r w:rsidRPr="002A469C">
        <w:t xml:space="preserve">It is a condition of the </w:t>
      </w:r>
      <w:r w:rsidRPr="002A469C">
        <w:rPr>
          <w:color w:val="auto"/>
          <w:szCs w:val="24"/>
          <w:lang w:eastAsia="en-AU"/>
        </w:rPr>
        <w:t>exemption</w:t>
      </w:r>
      <w:r w:rsidRPr="002A469C">
        <w:t xml:space="preserve"> that the Commonwealth:</w:t>
      </w:r>
    </w:p>
    <w:p w:rsidR="00E320AE" w:rsidRPr="002A469C" w:rsidRDefault="00E320AE" w:rsidP="001A33D9">
      <w:pPr>
        <w:pStyle w:val="SubmissionNormal"/>
        <w:numPr>
          <w:ilvl w:val="1"/>
          <w:numId w:val="37"/>
        </w:numPr>
      </w:pPr>
      <w:r w:rsidRPr="002A469C">
        <w:t xml:space="preserve">Take all necessary steps to </w:t>
      </w:r>
      <w:r w:rsidRPr="002A469C">
        <w:rPr>
          <w:color w:val="auto"/>
          <w:szCs w:val="24"/>
          <w:lang w:eastAsia="en-AU"/>
        </w:rPr>
        <w:t>ensure</w:t>
      </w:r>
      <w:r w:rsidRPr="002A469C">
        <w:t xml:space="preserve"> the transition from the </w:t>
      </w:r>
      <w:r w:rsidRPr="008424A6">
        <w:rPr>
          <w:color w:val="auto"/>
          <w:szCs w:val="24"/>
          <w:lang w:eastAsia="en-AU"/>
        </w:rPr>
        <w:t xml:space="preserve">Business Services Wage Assessment </w:t>
      </w:r>
      <w:r>
        <w:rPr>
          <w:color w:val="auto"/>
          <w:szCs w:val="24"/>
          <w:lang w:eastAsia="en-AU"/>
        </w:rPr>
        <w:t>T</w:t>
      </w:r>
      <w:r w:rsidRPr="008424A6">
        <w:rPr>
          <w:color w:val="auto"/>
          <w:szCs w:val="24"/>
          <w:lang w:eastAsia="en-AU"/>
        </w:rPr>
        <w:t>ool</w:t>
      </w:r>
      <w:r w:rsidRPr="002A469C">
        <w:t xml:space="preserve"> </w:t>
      </w:r>
      <w:r>
        <w:t>(</w:t>
      </w:r>
      <w:r w:rsidRPr="002A469C">
        <w:t>BSWAT</w:t>
      </w:r>
      <w:r>
        <w:t>)</w:t>
      </w:r>
      <w:r w:rsidRPr="002A469C">
        <w:t xml:space="preserve"> to the Supported Wage System, or an alternative tool approved by the Fair Work Commission, as quickly as possible. </w:t>
      </w:r>
    </w:p>
    <w:p w:rsidR="00E320AE" w:rsidRPr="002A469C" w:rsidRDefault="00E320AE" w:rsidP="001A33D9">
      <w:pPr>
        <w:pStyle w:val="SubmissionNormal"/>
        <w:keepNext/>
        <w:numPr>
          <w:ilvl w:val="1"/>
          <w:numId w:val="37"/>
        </w:numPr>
        <w:ind w:left="1434" w:hanging="357"/>
      </w:pPr>
      <w:r w:rsidRPr="002A469C">
        <w:lastRenderedPageBreak/>
        <w:t>Report to the Commission, on a monthly basis during the exemption period, as to:</w:t>
      </w:r>
    </w:p>
    <w:p w:rsidR="00E320AE" w:rsidRPr="002A469C" w:rsidRDefault="00E320AE" w:rsidP="001A33D9">
      <w:pPr>
        <w:pStyle w:val="SubmissionNormal"/>
        <w:numPr>
          <w:ilvl w:val="2"/>
          <w:numId w:val="37"/>
        </w:numPr>
      </w:pPr>
      <w:r w:rsidRPr="002A469C">
        <w:t xml:space="preserve">The steps taken to ensure the transition from the BSWAT to the Supported Wage System, or an alternative tool </w:t>
      </w:r>
      <w:r w:rsidRPr="002A469C">
        <w:rPr>
          <w:color w:val="auto"/>
          <w:szCs w:val="24"/>
          <w:lang w:eastAsia="en-AU"/>
        </w:rPr>
        <w:t>approved</w:t>
      </w:r>
      <w:r w:rsidRPr="002A469C">
        <w:t xml:space="preserve"> by the Fair Work Com</w:t>
      </w:r>
      <w:r>
        <w:t>mission, as quickly as possible.</w:t>
      </w:r>
    </w:p>
    <w:p w:rsidR="00E320AE" w:rsidRPr="002A469C" w:rsidRDefault="00E320AE" w:rsidP="001A33D9">
      <w:pPr>
        <w:pStyle w:val="SubmissionNormal"/>
        <w:numPr>
          <w:ilvl w:val="2"/>
          <w:numId w:val="37"/>
        </w:numPr>
      </w:pPr>
      <w:r w:rsidRPr="002A469C">
        <w:t xml:space="preserve">Whether any ADEs have </w:t>
      </w:r>
      <w:r w:rsidRPr="002A469C">
        <w:rPr>
          <w:color w:val="auto"/>
          <w:szCs w:val="24"/>
          <w:lang w:eastAsia="en-AU"/>
        </w:rPr>
        <w:t>applied</w:t>
      </w:r>
      <w:r w:rsidRPr="002A469C">
        <w:t xml:space="preserve"> to the Fair Work Commission for a further transitional period pursuant to clause 14.6(b)(ii) of the Supported Employment Services Award 2010.</w:t>
      </w:r>
    </w:p>
    <w:p w:rsidR="00E320AE" w:rsidRPr="002A469C" w:rsidRDefault="00E320AE" w:rsidP="001A33D9">
      <w:pPr>
        <w:pStyle w:val="SubmissionNormal"/>
        <w:numPr>
          <w:ilvl w:val="2"/>
          <w:numId w:val="37"/>
        </w:numPr>
        <w:rPr>
          <w:color w:val="auto"/>
          <w:szCs w:val="24"/>
          <w:lang w:eastAsia="en-AU"/>
        </w:rPr>
      </w:pPr>
      <w:r w:rsidRPr="002A469C">
        <w:rPr>
          <w:color w:val="auto"/>
          <w:szCs w:val="24"/>
          <w:lang w:eastAsia="en-AU"/>
        </w:rPr>
        <w:t xml:space="preserve">The status of any such application to </w:t>
      </w:r>
      <w:r>
        <w:rPr>
          <w:color w:val="auto"/>
          <w:szCs w:val="24"/>
          <w:lang w:eastAsia="en-AU"/>
        </w:rPr>
        <w:t xml:space="preserve">the </w:t>
      </w:r>
      <w:r w:rsidRPr="002A469C">
        <w:rPr>
          <w:color w:val="auto"/>
          <w:szCs w:val="24"/>
          <w:lang w:eastAsia="en-AU"/>
        </w:rPr>
        <w:t>Fair Work Commission.</w:t>
      </w:r>
    </w:p>
    <w:p w:rsidR="00E320AE" w:rsidRPr="002A469C" w:rsidRDefault="00E320AE" w:rsidP="001A33D9">
      <w:pPr>
        <w:pStyle w:val="SubmissionNormal"/>
        <w:keepNext/>
        <w:numPr>
          <w:ilvl w:val="2"/>
          <w:numId w:val="37"/>
        </w:numPr>
        <w:ind w:hanging="181"/>
        <w:rPr>
          <w:color w:val="auto"/>
          <w:szCs w:val="24"/>
          <w:lang w:eastAsia="en-AU"/>
        </w:rPr>
      </w:pPr>
      <w:r w:rsidRPr="002A469C">
        <w:rPr>
          <w:color w:val="auto"/>
          <w:szCs w:val="24"/>
          <w:lang w:eastAsia="en-AU"/>
        </w:rPr>
        <w:t>The number of ADEs</w:t>
      </w:r>
      <w:r w:rsidRPr="00A24737">
        <w:rPr>
          <w:color w:val="auto"/>
          <w:szCs w:val="24"/>
          <w:lang w:eastAsia="en-AU"/>
        </w:rPr>
        <w:t xml:space="preserve"> </w:t>
      </w:r>
      <w:r w:rsidRPr="002A469C">
        <w:rPr>
          <w:color w:val="auto"/>
          <w:szCs w:val="24"/>
          <w:lang w:eastAsia="en-AU"/>
        </w:rPr>
        <w:t>previously using BSWAT:</w:t>
      </w:r>
    </w:p>
    <w:p w:rsidR="00E320AE" w:rsidRPr="002A469C" w:rsidRDefault="00E320AE" w:rsidP="001A33D9">
      <w:pPr>
        <w:pStyle w:val="SubmissionNormal"/>
        <w:numPr>
          <w:ilvl w:val="3"/>
          <w:numId w:val="37"/>
        </w:numPr>
        <w:rPr>
          <w:color w:val="auto"/>
          <w:szCs w:val="24"/>
          <w:lang w:eastAsia="en-AU"/>
        </w:rPr>
      </w:pPr>
      <w:r w:rsidRPr="002A469C">
        <w:rPr>
          <w:color w:val="auto"/>
          <w:szCs w:val="24"/>
          <w:lang w:eastAsia="en-AU"/>
        </w:rPr>
        <w:t>with all workers using an alternative tool,</w:t>
      </w:r>
    </w:p>
    <w:p w:rsidR="00E320AE" w:rsidRPr="002A469C" w:rsidRDefault="00E320AE" w:rsidP="001A33D9">
      <w:pPr>
        <w:pStyle w:val="SubmissionNormal"/>
        <w:numPr>
          <w:ilvl w:val="3"/>
          <w:numId w:val="37"/>
        </w:numPr>
        <w:rPr>
          <w:color w:val="auto"/>
          <w:szCs w:val="24"/>
          <w:lang w:eastAsia="en-AU"/>
        </w:rPr>
      </w:pPr>
      <w:r w:rsidRPr="002A469C">
        <w:rPr>
          <w:color w:val="auto"/>
          <w:szCs w:val="24"/>
          <w:lang w:eastAsia="en-AU"/>
        </w:rPr>
        <w:t>with an alternative tool and some assessments</w:t>
      </w:r>
      <w:r w:rsidRPr="00DC65A1">
        <w:rPr>
          <w:color w:val="auto"/>
          <w:szCs w:val="24"/>
          <w:lang w:eastAsia="en-AU"/>
        </w:rPr>
        <w:t xml:space="preserve"> </w:t>
      </w:r>
      <w:r w:rsidRPr="002A469C">
        <w:rPr>
          <w:color w:val="auto"/>
          <w:szCs w:val="24"/>
          <w:lang w:eastAsia="en-AU"/>
        </w:rPr>
        <w:t>completed,</w:t>
      </w:r>
    </w:p>
    <w:p w:rsidR="00E320AE" w:rsidRPr="002A469C" w:rsidRDefault="00E320AE" w:rsidP="001A33D9">
      <w:pPr>
        <w:pStyle w:val="SubmissionNormal"/>
        <w:numPr>
          <w:ilvl w:val="3"/>
          <w:numId w:val="37"/>
        </w:numPr>
        <w:rPr>
          <w:color w:val="auto"/>
          <w:szCs w:val="24"/>
          <w:lang w:eastAsia="en-AU"/>
        </w:rPr>
      </w:pPr>
      <w:r w:rsidRPr="002A469C">
        <w:rPr>
          <w:color w:val="auto"/>
          <w:szCs w:val="24"/>
          <w:lang w:eastAsia="en-AU"/>
        </w:rPr>
        <w:t xml:space="preserve">with an alternative tool, but </w:t>
      </w:r>
      <w:r>
        <w:rPr>
          <w:color w:val="auto"/>
          <w:szCs w:val="24"/>
          <w:lang w:eastAsia="en-AU"/>
        </w:rPr>
        <w:t>have not commenced assessments,</w:t>
      </w:r>
    </w:p>
    <w:p w:rsidR="00E320AE" w:rsidRPr="002A469C" w:rsidRDefault="00E320AE" w:rsidP="001A33D9">
      <w:pPr>
        <w:pStyle w:val="SubmissionNormal"/>
        <w:numPr>
          <w:ilvl w:val="3"/>
          <w:numId w:val="37"/>
        </w:numPr>
        <w:rPr>
          <w:color w:val="auto"/>
          <w:szCs w:val="24"/>
          <w:lang w:eastAsia="en-AU"/>
        </w:rPr>
      </w:pPr>
      <w:r>
        <w:rPr>
          <w:color w:val="auto"/>
          <w:szCs w:val="24"/>
          <w:lang w:eastAsia="en-AU"/>
        </w:rPr>
        <w:t>that</w:t>
      </w:r>
      <w:r w:rsidRPr="002A469C">
        <w:rPr>
          <w:color w:val="auto"/>
          <w:szCs w:val="24"/>
          <w:lang w:eastAsia="en-AU"/>
        </w:rPr>
        <w:t xml:space="preserve"> have not identified an alternative tool,</w:t>
      </w:r>
    </w:p>
    <w:p w:rsidR="00E320AE" w:rsidRPr="002A469C" w:rsidRDefault="00E320AE" w:rsidP="001A33D9">
      <w:pPr>
        <w:pStyle w:val="SubmissionNormal"/>
        <w:numPr>
          <w:ilvl w:val="3"/>
          <w:numId w:val="37"/>
        </w:numPr>
        <w:rPr>
          <w:color w:val="auto"/>
          <w:szCs w:val="24"/>
          <w:lang w:eastAsia="en-AU"/>
        </w:rPr>
      </w:pPr>
      <w:r>
        <w:rPr>
          <w:color w:val="auto"/>
          <w:szCs w:val="24"/>
          <w:lang w:eastAsia="en-AU"/>
        </w:rPr>
        <w:t>that</w:t>
      </w:r>
      <w:r w:rsidRPr="002A469C">
        <w:rPr>
          <w:color w:val="auto"/>
          <w:szCs w:val="24"/>
          <w:lang w:eastAsia="en-AU"/>
        </w:rPr>
        <w:t xml:space="preserve"> no longer provide supported employment.</w:t>
      </w:r>
    </w:p>
    <w:p w:rsidR="00E320AE" w:rsidRPr="002A469C" w:rsidRDefault="00E320AE" w:rsidP="001A33D9">
      <w:pPr>
        <w:pStyle w:val="SubmissionNormal"/>
        <w:numPr>
          <w:ilvl w:val="2"/>
          <w:numId w:val="37"/>
        </w:numPr>
        <w:rPr>
          <w:color w:val="auto"/>
          <w:szCs w:val="24"/>
          <w:lang w:eastAsia="en-AU"/>
        </w:rPr>
      </w:pPr>
      <w:r w:rsidRPr="002A469C">
        <w:rPr>
          <w:color w:val="auto"/>
          <w:szCs w:val="24"/>
          <w:lang w:eastAsia="en-AU"/>
        </w:rPr>
        <w:t>The number of supported employees</w:t>
      </w:r>
      <w:r w:rsidRPr="00571AA3">
        <w:rPr>
          <w:color w:val="auto"/>
          <w:szCs w:val="24"/>
          <w:lang w:eastAsia="en-AU"/>
        </w:rPr>
        <w:t xml:space="preserve"> </w:t>
      </w:r>
      <w:r w:rsidRPr="002A469C">
        <w:rPr>
          <w:color w:val="auto"/>
          <w:szCs w:val="24"/>
          <w:lang w:eastAsia="en-AU"/>
        </w:rPr>
        <w:t>who work at an ADE that had previously used BSWAT:</w:t>
      </w:r>
    </w:p>
    <w:p w:rsidR="00E320AE" w:rsidRPr="002A469C" w:rsidRDefault="00E320AE" w:rsidP="001A33D9">
      <w:pPr>
        <w:pStyle w:val="SubmissionNormal"/>
        <w:numPr>
          <w:ilvl w:val="3"/>
          <w:numId w:val="37"/>
        </w:numPr>
        <w:rPr>
          <w:color w:val="auto"/>
          <w:szCs w:val="24"/>
          <w:lang w:eastAsia="en-AU"/>
        </w:rPr>
      </w:pPr>
      <w:r>
        <w:rPr>
          <w:color w:val="auto"/>
          <w:szCs w:val="24"/>
          <w:lang w:eastAsia="en-AU"/>
        </w:rPr>
        <w:t xml:space="preserve">that have been </w:t>
      </w:r>
      <w:r w:rsidRPr="002A469C">
        <w:rPr>
          <w:color w:val="auto"/>
          <w:szCs w:val="24"/>
          <w:lang w:eastAsia="en-AU"/>
        </w:rPr>
        <w:t xml:space="preserve">assessed under </w:t>
      </w:r>
      <w:r>
        <w:rPr>
          <w:color w:val="auto"/>
          <w:szCs w:val="24"/>
          <w:lang w:eastAsia="en-AU"/>
        </w:rPr>
        <w:t xml:space="preserve">an </w:t>
      </w:r>
      <w:r w:rsidRPr="002A469C">
        <w:rPr>
          <w:color w:val="auto"/>
          <w:szCs w:val="24"/>
          <w:lang w:eastAsia="en-AU"/>
        </w:rPr>
        <w:t>alternative</w:t>
      </w:r>
      <w:r>
        <w:rPr>
          <w:color w:val="auto"/>
          <w:szCs w:val="24"/>
          <w:lang w:eastAsia="en-AU"/>
        </w:rPr>
        <w:t xml:space="preserve"> tool, and</w:t>
      </w:r>
    </w:p>
    <w:p w:rsidR="00E320AE" w:rsidRPr="002A469C" w:rsidRDefault="00E320AE" w:rsidP="001A33D9">
      <w:pPr>
        <w:pStyle w:val="SubmissionNormal"/>
        <w:numPr>
          <w:ilvl w:val="3"/>
          <w:numId w:val="37"/>
        </w:numPr>
        <w:rPr>
          <w:color w:val="auto"/>
          <w:szCs w:val="24"/>
          <w:lang w:eastAsia="en-AU"/>
        </w:rPr>
      </w:pPr>
      <w:r>
        <w:rPr>
          <w:color w:val="auto"/>
          <w:szCs w:val="24"/>
          <w:lang w:eastAsia="en-AU"/>
        </w:rPr>
        <w:t>that are</w:t>
      </w:r>
      <w:r w:rsidRPr="002A469C">
        <w:rPr>
          <w:color w:val="auto"/>
          <w:szCs w:val="24"/>
          <w:lang w:eastAsia="en-AU"/>
        </w:rPr>
        <w:t xml:space="preserve"> yet to be assessed by </w:t>
      </w:r>
      <w:r>
        <w:rPr>
          <w:color w:val="auto"/>
          <w:szCs w:val="24"/>
          <w:lang w:eastAsia="en-AU"/>
        </w:rPr>
        <w:t xml:space="preserve">an </w:t>
      </w:r>
      <w:r w:rsidRPr="002A469C">
        <w:rPr>
          <w:color w:val="auto"/>
          <w:szCs w:val="24"/>
          <w:lang w:eastAsia="en-AU"/>
        </w:rPr>
        <w:t xml:space="preserve">alternative tool where the </w:t>
      </w:r>
      <w:r>
        <w:rPr>
          <w:color w:val="auto"/>
          <w:szCs w:val="24"/>
          <w:lang w:eastAsia="en-AU"/>
        </w:rPr>
        <w:t>ADE</w:t>
      </w:r>
      <w:r w:rsidRPr="002A469C">
        <w:rPr>
          <w:color w:val="auto"/>
          <w:szCs w:val="24"/>
          <w:lang w:eastAsia="en-AU"/>
        </w:rPr>
        <w:t>:</w:t>
      </w:r>
    </w:p>
    <w:p w:rsidR="00E320AE" w:rsidRPr="002A469C" w:rsidRDefault="00E320AE" w:rsidP="001A33D9">
      <w:pPr>
        <w:pStyle w:val="SubmissionNormal"/>
        <w:numPr>
          <w:ilvl w:val="4"/>
          <w:numId w:val="37"/>
        </w:numPr>
        <w:rPr>
          <w:color w:val="auto"/>
          <w:szCs w:val="24"/>
          <w:lang w:eastAsia="en-AU"/>
        </w:rPr>
      </w:pPr>
      <w:r>
        <w:rPr>
          <w:color w:val="auto"/>
          <w:szCs w:val="24"/>
          <w:lang w:eastAsia="en-AU"/>
        </w:rPr>
        <w:t>has commenced assessments with a</w:t>
      </w:r>
      <w:r w:rsidRPr="002A469C">
        <w:rPr>
          <w:color w:val="auto"/>
          <w:szCs w:val="24"/>
          <w:lang w:eastAsia="en-AU"/>
        </w:rPr>
        <w:t>n alternative tool,</w:t>
      </w:r>
      <w:r>
        <w:rPr>
          <w:color w:val="auto"/>
          <w:szCs w:val="24"/>
          <w:lang w:eastAsia="en-AU"/>
        </w:rPr>
        <w:t xml:space="preserve"> and</w:t>
      </w:r>
    </w:p>
    <w:p w:rsidR="00E320AE" w:rsidRPr="002A469C" w:rsidRDefault="00E320AE" w:rsidP="001A33D9">
      <w:pPr>
        <w:pStyle w:val="SubmissionNormal"/>
        <w:numPr>
          <w:ilvl w:val="4"/>
          <w:numId w:val="37"/>
        </w:numPr>
        <w:rPr>
          <w:color w:val="auto"/>
          <w:szCs w:val="24"/>
          <w:lang w:eastAsia="en-AU"/>
        </w:rPr>
      </w:pPr>
      <w:r w:rsidRPr="002A469C">
        <w:rPr>
          <w:color w:val="auto"/>
          <w:szCs w:val="24"/>
          <w:lang w:eastAsia="en-AU"/>
        </w:rPr>
        <w:t xml:space="preserve">has NOT commenced assessments </w:t>
      </w:r>
      <w:r>
        <w:rPr>
          <w:color w:val="auto"/>
          <w:szCs w:val="24"/>
          <w:lang w:eastAsia="en-AU"/>
        </w:rPr>
        <w:t>with an</w:t>
      </w:r>
      <w:r w:rsidRPr="002A469C">
        <w:rPr>
          <w:color w:val="auto"/>
          <w:szCs w:val="24"/>
          <w:lang w:eastAsia="en-AU"/>
        </w:rPr>
        <w:t xml:space="preserve"> alternative tool.</w:t>
      </w:r>
    </w:p>
    <w:p w:rsidR="00E320AE" w:rsidRPr="002A469C" w:rsidRDefault="00E320AE" w:rsidP="001A33D9">
      <w:pPr>
        <w:pStyle w:val="SubmissionNormal"/>
        <w:numPr>
          <w:ilvl w:val="2"/>
          <w:numId w:val="37"/>
        </w:numPr>
        <w:rPr>
          <w:color w:val="auto"/>
          <w:szCs w:val="24"/>
          <w:lang w:eastAsia="en-AU"/>
        </w:rPr>
      </w:pPr>
      <w:r w:rsidRPr="002A469C">
        <w:rPr>
          <w:color w:val="auto"/>
          <w:szCs w:val="24"/>
          <w:lang w:eastAsia="en-AU"/>
        </w:rPr>
        <w:t xml:space="preserve">The percentage of </w:t>
      </w:r>
      <w:r>
        <w:rPr>
          <w:color w:val="auto"/>
          <w:szCs w:val="24"/>
          <w:lang w:eastAsia="en-AU"/>
        </w:rPr>
        <w:t xml:space="preserve">supported </w:t>
      </w:r>
      <w:r w:rsidRPr="002A469C">
        <w:rPr>
          <w:color w:val="auto"/>
          <w:szCs w:val="24"/>
          <w:lang w:eastAsia="en-AU"/>
        </w:rPr>
        <w:t xml:space="preserve">employees who have transitioned to </w:t>
      </w:r>
      <w:r>
        <w:rPr>
          <w:color w:val="auto"/>
          <w:szCs w:val="24"/>
          <w:lang w:eastAsia="en-AU"/>
        </w:rPr>
        <w:t>an alternative</w:t>
      </w:r>
      <w:r w:rsidRPr="002A469C">
        <w:rPr>
          <w:color w:val="auto"/>
          <w:szCs w:val="24"/>
          <w:lang w:eastAsia="en-AU"/>
        </w:rPr>
        <w:t xml:space="preserve"> wage tool.</w:t>
      </w:r>
    </w:p>
    <w:p w:rsidR="00E320AE" w:rsidRPr="002A469C" w:rsidRDefault="00E320AE" w:rsidP="001A33D9">
      <w:pPr>
        <w:pStyle w:val="SubmissionNormal"/>
        <w:numPr>
          <w:ilvl w:val="1"/>
          <w:numId w:val="37"/>
        </w:numPr>
        <w:rPr>
          <w:color w:val="auto"/>
          <w:szCs w:val="24"/>
          <w:lang w:eastAsia="en-AU"/>
        </w:rPr>
      </w:pPr>
      <w:r w:rsidRPr="002A469C">
        <w:rPr>
          <w:color w:val="auto"/>
          <w:szCs w:val="24"/>
          <w:lang w:eastAsia="en-AU"/>
        </w:rPr>
        <w:t xml:space="preserve">Give consideration to ensuring that no disadvantage is suffered by </w:t>
      </w:r>
      <w:r>
        <w:rPr>
          <w:color w:val="auto"/>
          <w:szCs w:val="24"/>
          <w:lang w:eastAsia="en-AU"/>
        </w:rPr>
        <w:t>any supported employee</w:t>
      </w:r>
      <w:r w:rsidRPr="002A469C">
        <w:rPr>
          <w:color w:val="auto"/>
          <w:szCs w:val="24"/>
          <w:lang w:eastAsia="en-AU"/>
        </w:rPr>
        <w:t xml:space="preserve"> whose wages may be reduced as a result of the application of the Supported Wage System or alternative tool.</w:t>
      </w:r>
    </w:p>
    <w:p w:rsidR="00E320AE" w:rsidRPr="002A469C" w:rsidRDefault="00E320AE" w:rsidP="001A33D9">
      <w:pPr>
        <w:pStyle w:val="SubmissionNormal"/>
        <w:keepNext/>
        <w:numPr>
          <w:ilvl w:val="0"/>
          <w:numId w:val="37"/>
        </w:numPr>
        <w:ind w:left="714" w:hanging="357"/>
        <w:rPr>
          <w:color w:val="auto"/>
          <w:szCs w:val="24"/>
          <w:lang w:eastAsia="en-AU"/>
        </w:rPr>
      </w:pPr>
      <w:r w:rsidRPr="002A469C">
        <w:rPr>
          <w:color w:val="auto"/>
          <w:szCs w:val="24"/>
          <w:lang w:eastAsia="en-AU"/>
        </w:rPr>
        <w:t xml:space="preserve">It is a condition of the exemption that each ADE </w:t>
      </w:r>
      <w:r>
        <w:rPr>
          <w:color w:val="auto"/>
          <w:szCs w:val="24"/>
          <w:lang w:eastAsia="en-AU"/>
        </w:rPr>
        <w:t>to which this exemption applies:</w:t>
      </w:r>
    </w:p>
    <w:p w:rsidR="00E320AE" w:rsidRPr="002A469C" w:rsidRDefault="00E320AE" w:rsidP="001A33D9">
      <w:pPr>
        <w:pStyle w:val="SubmissionNormal"/>
        <w:numPr>
          <w:ilvl w:val="1"/>
          <w:numId w:val="37"/>
        </w:numPr>
        <w:rPr>
          <w:color w:val="auto"/>
          <w:szCs w:val="24"/>
          <w:lang w:eastAsia="en-AU"/>
        </w:rPr>
      </w:pPr>
      <w:r w:rsidRPr="002A469C">
        <w:rPr>
          <w:color w:val="auto"/>
          <w:szCs w:val="24"/>
          <w:lang w:eastAsia="en-AU"/>
        </w:rPr>
        <w:t>Take all necessary steps to transition from the BSWAT to the Supported Wage System, or an alternative tool approved by the Fair Work Commission, as quickly as possible.</w:t>
      </w:r>
    </w:p>
    <w:p w:rsidR="00E320AE" w:rsidRPr="002A469C" w:rsidRDefault="00E320AE" w:rsidP="001A33D9">
      <w:pPr>
        <w:pStyle w:val="SubmissionNormal"/>
        <w:numPr>
          <w:ilvl w:val="1"/>
          <w:numId w:val="37"/>
        </w:numPr>
        <w:rPr>
          <w:color w:val="auto"/>
          <w:szCs w:val="24"/>
          <w:lang w:eastAsia="en-AU"/>
        </w:rPr>
      </w:pPr>
      <w:r w:rsidRPr="002A469C">
        <w:rPr>
          <w:color w:val="auto"/>
          <w:szCs w:val="24"/>
          <w:lang w:eastAsia="en-AU"/>
        </w:rPr>
        <w:lastRenderedPageBreak/>
        <w:t>Advise the Commission upon the filing of any application for a further transitional period pursuant to clause 14.6(b)(ii) of the Supported Employment Services Award 2010</w:t>
      </w:r>
      <w:r>
        <w:rPr>
          <w:color w:val="auto"/>
          <w:szCs w:val="24"/>
          <w:lang w:eastAsia="en-AU"/>
        </w:rPr>
        <w:t>.</w:t>
      </w:r>
    </w:p>
    <w:p w:rsidR="00E320AE" w:rsidRPr="002A469C" w:rsidRDefault="00E320AE" w:rsidP="001A33D9">
      <w:pPr>
        <w:pStyle w:val="SubmissionNormal"/>
        <w:numPr>
          <w:ilvl w:val="1"/>
          <w:numId w:val="37"/>
        </w:numPr>
        <w:rPr>
          <w:color w:val="auto"/>
          <w:szCs w:val="24"/>
          <w:lang w:eastAsia="en-AU"/>
        </w:rPr>
      </w:pPr>
      <w:r w:rsidRPr="002A469C">
        <w:rPr>
          <w:color w:val="auto"/>
          <w:szCs w:val="24"/>
          <w:lang w:eastAsia="en-AU"/>
        </w:rPr>
        <w:t>Advise the Commission of the outcome of any such application.</w:t>
      </w:r>
    </w:p>
    <w:p w:rsidR="00E320AE" w:rsidRPr="002A469C" w:rsidRDefault="00E320AE" w:rsidP="001A33D9">
      <w:pPr>
        <w:pStyle w:val="SubmissionNormal"/>
        <w:numPr>
          <w:ilvl w:val="1"/>
          <w:numId w:val="37"/>
        </w:numPr>
        <w:rPr>
          <w:color w:val="auto"/>
          <w:szCs w:val="24"/>
          <w:lang w:eastAsia="en-AU"/>
        </w:rPr>
      </w:pPr>
      <w:r w:rsidRPr="002A469C">
        <w:rPr>
          <w:color w:val="auto"/>
          <w:szCs w:val="24"/>
          <w:lang w:eastAsia="en-AU"/>
        </w:rPr>
        <w:t xml:space="preserve">Provide such information to the Commonwealth to enable it to accurately and effectively report to the Commission as required under this instrument. </w:t>
      </w:r>
    </w:p>
    <w:p w:rsidR="00E320AE" w:rsidRPr="002A469C" w:rsidRDefault="00E320AE" w:rsidP="001A33D9">
      <w:pPr>
        <w:pStyle w:val="SubmissionNormal"/>
        <w:numPr>
          <w:ilvl w:val="1"/>
          <w:numId w:val="37"/>
        </w:numPr>
        <w:rPr>
          <w:color w:val="auto"/>
          <w:szCs w:val="24"/>
          <w:lang w:eastAsia="en-AU"/>
        </w:rPr>
      </w:pPr>
      <w:r>
        <w:rPr>
          <w:color w:val="auto"/>
          <w:szCs w:val="24"/>
          <w:lang w:eastAsia="en-AU"/>
        </w:rPr>
        <w:t>Be compliant</w:t>
      </w:r>
      <w:r w:rsidRPr="002A469C">
        <w:rPr>
          <w:color w:val="auto"/>
          <w:szCs w:val="24"/>
          <w:lang w:eastAsia="en-AU"/>
        </w:rPr>
        <w:t xml:space="preserve"> with any order of the Fair Work Commission in relation to the use of the BSWAT.</w:t>
      </w:r>
    </w:p>
    <w:p w:rsidR="00E320AE" w:rsidRDefault="00E320AE" w:rsidP="001A33D9">
      <w:pPr>
        <w:pStyle w:val="SubmissionNormal"/>
        <w:numPr>
          <w:ilvl w:val="1"/>
          <w:numId w:val="37"/>
        </w:numPr>
        <w:rPr>
          <w:color w:val="auto"/>
          <w:szCs w:val="24"/>
          <w:lang w:eastAsia="en-AU"/>
        </w:rPr>
      </w:pPr>
      <w:r w:rsidRPr="002A469C">
        <w:rPr>
          <w:color w:val="auto"/>
          <w:szCs w:val="24"/>
          <w:lang w:eastAsia="en-AU"/>
        </w:rPr>
        <w:t xml:space="preserve">Give consideration to ensuring that no disadvantage is suffered by </w:t>
      </w:r>
      <w:r>
        <w:rPr>
          <w:color w:val="auto"/>
          <w:szCs w:val="24"/>
          <w:lang w:eastAsia="en-AU"/>
        </w:rPr>
        <w:t>any supported employee</w:t>
      </w:r>
      <w:r w:rsidRPr="002A469C">
        <w:rPr>
          <w:color w:val="auto"/>
          <w:szCs w:val="24"/>
          <w:lang w:eastAsia="en-AU"/>
        </w:rPr>
        <w:t xml:space="preserve"> whose wages may be reduced as a result of the application of the Supported Wage System or alternative tool.</w:t>
      </w:r>
    </w:p>
    <w:p w:rsidR="00E320AE" w:rsidRDefault="00E320AE" w:rsidP="00E320AE">
      <w:pPr>
        <w:keepNext/>
        <w:ind w:left="360"/>
      </w:pPr>
      <w:r w:rsidRPr="002A469C">
        <w:t xml:space="preserve">Dated this </w:t>
      </w:r>
      <w:r w:rsidRPr="0044155D">
        <w:t>18</w:t>
      </w:r>
      <w:r w:rsidRPr="002A469C">
        <w:t>th day of December</w:t>
      </w:r>
      <w:r>
        <w:t xml:space="preserve"> 2015</w:t>
      </w:r>
    </w:p>
    <w:p w:rsidR="00E320AE" w:rsidRDefault="00E320AE" w:rsidP="00E320AE">
      <w:pPr>
        <w:keepNext/>
        <w:ind w:left="360"/>
      </w:pPr>
      <w:r w:rsidRPr="0044155D">
        <w:rPr>
          <w:noProof/>
          <w:lang w:eastAsia="en-AU"/>
        </w:rPr>
        <w:drawing>
          <wp:inline distT="0" distB="0" distL="0" distR="0" wp14:anchorId="3161B2AA" wp14:editId="0C0FF821">
            <wp:extent cx="2012950" cy="1187450"/>
            <wp:effectExtent l="0" t="0" r="6350" b="0"/>
            <wp:docPr id="9" name="Picture 9" descr="I:\Admin\#Gillian's signature\Gillian's electronic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min\#Gillian's signature\Gillian's electronic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0" cy="1187450"/>
                    </a:xfrm>
                    <a:prstGeom prst="rect">
                      <a:avLst/>
                    </a:prstGeom>
                    <a:noFill/>
                    <a:ln>
                      <a:noFill/>
                    </a:ln>
                  </pic:spPr>
                </pic:pic>
              </a:graphicData>
            </a:graphic>
          </wp:inline>
        </w:drawing>
      </w:r>
    </w:p>
    <w:p w:rsidR="00E320AE" w:rsidRPr="002A469C" w:rsidRDefault="00E320AE" w:rsidP="00E320AE">
      <w:pPr>
        <w:keepNext/>
        <w:ind w:left="360"/>
      </w:pPr>
      <w:r w:rsidRPr="002A469C">
        <w:t xml:space="preserve">Signed by the President, Professor Gillian Triggs, </w:t>
      </w:r>
      <w:r w:rsidRPr="002A469C">
        <w:br/>
        <w:t>on behalf of the Commission.</w:t>
      </w:r>
    </w:p>
    <w:p w:rsidR="00E320AE" w:rsidRPr="002A469C" w:rsidRDefault="00E320AE" w:rsidP="00E320AE">
      <w:pPr>
        <w:pStyle w:val="SubmissionNormal"/>
        <w:tabs>
          <w:tab w:val="clear" w:pos="720"/>
        </w:tabs>
        <w:rPr>
          <w:color w:val="auto"/>
          <w:szCs w:val="24"/>
          <w:lang w:eastAsia="en-AU"/>
        </w:rPr>
      </w:pPr>
    </w:p>
    <w:p w:rsidR="00E320AE" w:rsidRDefault="00E320AE" w:rsidP="00E320AE">
      <w:pPr>
        <w:pStyle w:val="Title"/>
        <w:pageBreakBefore/>
      </w:pPr>
      <w:r>
        <w:lastRenderedPageBreak/>
        <w:t>Reasons for Decision</w:t>
      </w:r>
    </w:p>
    <w:p w:rsidR="00E320AE" w:rsidRPr="002A469C" w:rsidRDefault="00E320AE" w:rsidP="00E320AE">
      <w:pPr>
        <w:pStyle w:val="Heading1"/>
        <w:numPr>
          <w:ilvl w:val="0"/>
          <w:numId w:val="36"/>
        </w:numPr>
      </w:pPr>
      <w:r w:rsidRPr="002A469C">
        <w:t>Background</w:t>
      </w:r>
    </w:p>
    <w:p w:rsidR="00E320AE" w:rsidRPr="002A469C" w:rsidRDefault="00E320AE" w:rsidP="00E320AE">
      <w:pPr>
        <w:pStyle w:val="SubmissionNormal"/>
        <w:numPr>
          <w:ilvl w:val="0"/>
          <w:numId w:val="35"/>
        </w:numPr>
        <w:ind w:left="1134" w:hanging="774"/>
      </w:pPr>
      <w:r w:rsidRPr="002A469C">
        <w:t xml:space="preserve">On 29 April 2014, the </w:t>
      </w:r>
      <w:r>
        <w:t xml:space="preserve">Australian Human Rights </w:t>
      </w:r>
      <w:r w:rsidRPr="002A469C">
        <w:t>Commission</w:t>
      </w:r>
      <w:r>
        <w:t xml:space="preserve"> (Commission)</w:t>
      </w:r>
      <w:r w:rsidRPr="002A469C">
        <w:t xml:space="preserve"> granted </w:t>
      </w:r>
      <w:r w:rsidRPr="008424A6">
        <w:rPr>
          <w:color w:val="auto"/>
          <w:szCs w:val="24"/>
          <w:lang w:eastAsia="en-AU"/>
        </w:rPr>
        <w:t xml:space="preserve">to the Commonwealth and all Australian Disability Enterprises (ADEs) using </w:t>
      </w:r>
      <w:r>
        <w:rPr>
          <w:color w:val="auto"/>
          <w:szCs w:val="24"/>
          <w:lang w:eastAsia="en-AU"/>
        </w:rPr>
        <w:t xml:space="preserve">or proposing to use </w:t>
      </w:r>
      <w:r w:rsidRPr="008424A6">
        <w:rPr>
          <w:color w:val="auto"/>
          <w:szCs w:val="24"/>
          <w:lang w:eastAsia="en-AU"/>
        </w:rPr>
        <w:t xml:space="preserve">the Business Services Wage Assessment </w:t>
      </w:r>
      <w:r>
        <w:rPr>
          <w:color w:val="auto"/>
          <w:szCs w:val="24"/>
          <w:lang w:eastAsia="en-AU"/>
        </w:rPr>
        <w:t>T</w:t>
      </w:r>
      <w:r w:rsidRPr="008424A6">
        <w:rPr>
          <w:color w:val="auto"/>
          <w:szCs w:val="24"/>
          <w:lang w:eastAsia="en-AU"/>
        </w:rPr>
        <w:t>ool</w:t>
      </w:r>
      <w:r>
        <w:rPr>
          <w:color w:val="auto"/>
          <w:szCs w:val="24"/>
          <w:lang w:eastAsia="en-AU"/>
        </w:rPr>
        <w:t xml:space="preserve"> (BSWAT),</w:t>
      </w:r>
      <w:r w:rsidRPr="008424A6">
        <w:rPr>
          <w:color w:val="auto"/>
          <w:szCs w:val="24"/>
          <w:lang w:eastAsia="en-AU"/>
        </w:rPr>
        <w:t xml:space="preserve"> </w:t>
      </w:r>
      <w:r w:rsidRPr="002A469C">
        <w:t xml:space="preserve">an exemption from the </w:t>
      </w:r>
      <w:r w:rsidRPr="002A469C">
        <w:rPr>
          <w:color w:val="auto"/>
          <w:szCs w:val="24"/>
          <w:lang w:eastAsia="en-AU"/>
        </w:rPr>
        <w:t>operation</w:t>
      </w:r>
      <w:r w:rsidRPr="002A469C">
        <w:t xml:space="preserve"> of sections 15, 24 and 29 of the</w:t>
      </w:r>
      <w:r>
        <w:t xml:space="preserve"> </w:t>
      </w:r>
      <w:r>
        <w:rPr>
          <w:i/>
        </w:rPr>
        <w:t xml:space="preserve">Disability Discrimination Act 1992 </w:t>
      </w:r>
      <w:r>
        <w:t>(Cth)</w:t>
      </w:r>
      <w:r w:rsidRPr="002A469C">
        <w:t xml:space="preserve"> </w:t>
      </w:r>
      <w:r>
        <w:t>(</w:t>
      </w:r>
      <w:r w:rsidRPr="002A469C">
        <w:t>Disability Discrimination Act</w:t>
      </w:r>
      <w:r>
        <w:t>)</w:t>
      </w:r>
      <w:r w:rsidRPr="002A469C">
        <w:t xml:space="preserve"> (Original Exemption). The decision granting this exemption is available on the Commission website at </w:t>
      </w:r>
      <w:hyperlink r:id="rId10" w:history="1">
        <w:r w:rsidRPr="002A469C">
          <w:rPr>
            <w:rStyle w:val="Hyperlink"/>
          </w:rPr>
          <w:t>http://www.humanrights.gov.au/department-social-services-dss</w:t>
        </w:r>
      </w:hyperlink>
      <w:r w:rsidRPr="002A469C">
        <w:t xml:space="preserve">. </w:t>
      </w:r>
    </w:p>
    <w:p w:rsidR="00E320AE" w:rsidRPr="002A469C" w:rsidRDefault="00E320AE" w:rsidP="00E320AE">
      <w:pPr>
        <w:pStyle w:val="SubmissionNormal"/>
        <w:numPr>
          <w:ilvl w:val="0"/>
          <w:numId w:val="35"/>
        </w:numPr>
        <w:ind w:left="1094" w:hanging="737"/>
        <w:rPr>
          <w:color w:val="auto"/>
          <w:szCs w:val="24"/>
          <w:lang w:eastAsia="en-AU"/>
        </w:rPr>
      </w:pPr>
      <w:r w:rsidRPr="002A469C">
        <w:rPr>
          <w:color w:val="auto"/>
          <w:szCs w:val="24"/>
          <w:lang w:eastAsia="en-AU"/>
        </w:rPr>
        <w:t xml:space="preserve">The </w:t>
      </w:r>
      <w:r>
        <w:rPr>
          <w:color w:val="auto"/>
          <w:szCs w:val="24"/>
          <w:lang w:eastAsia="en-AU"/>
        </w:rPr>
        <w:t>Original Exemption</w:t>
      </w:r>
      <w:r w:rsidRPr="002A469C">
        <w:rPr>
          <w:color w:val="auto"/>
          <w:szCs w:val="24"/>
          <w:lang w:eastAsia="en-AU"/>
        </w:rPr>
        <w:t xml:space="preserve"> granted on 29 April 2014 expired on 29 April 2015.</w:t>
      </w:r>
    </w:p>
    <w:p w:rsidR="00E320AE" w:rsidRPr="002A469C" w:rsidRDefault="00E320AE" w:rsidP="00E320AE">
      <w:pPr>
        <w:pStyle w:val="SubmissionNormal"/>
        <w:numPr>
          <w:ilvl w:val="0"/>
          <w:numId w:val="35"/>
        </w:numPr>
        <w:ind w:left="1094" w:hanging="737"/>
        <w:rPr>
          <w:color w:val="auto"/>
          <w:szCs w:val="24"/>
          <w:lang w:eastAsia="en-AU"/>
        </w:rPr>
      </w:pPr>
      <w:r w:rsidRPr="002A469C">
        <w:rPr>
          <w:color w:val="auto"/>
          <w:szCs w:val="24"/>
          <w:lang w:eastAsia="en-AU"/>
        </w:rPr>
        <w:t xml:space="preserve">On 21 April 2015 the </w:t>
      </w:r>
      <w:r>
        <w:rPr>
          <w:color w:val="auto"/>
          <w:szCs w:val="24"/>
          <w:lang w:eastAsia="en-AU"/>
        </w:rPr>
        <w:t>Commonwealth</w:t>
      </w:r>
      <w:r w:rsidRPr="002A469C">
        <w:rPr>
          <w:color w:val="auto"/>
          <w:szCs w:val="24"/>
          <w:lang w:eastAsia="en-AU"/>
        </w:rPr>
        <w:t xml:space="preserve"> applied</w:t>
      </w:r>
      <w:r>
        <w:rPr>
          <w:color w:val="auto"/>
          <w:szCs w:val="24"/>
          <w:lang w:eastAsia="en-AU"/>
        </w:rPr>
        <w:t>, on its own behalf and on behalf of all ADEs,</w:t>
      </w:r>
      <w:r w:rsidRPr="002A469C">
        <w:rPr>
          <w:color w:val="auto"/>
          <w:szCs w:val="24"/>
          <w:lang w:eastAsia="en-AU"/>
        </w:rPr>
        <w:t xml:space="preserve"> for a temporary exemption</w:t>
      </w:r>
      <w:r>
        <w:rPr>
          <w:color w:val="auto"/>
          <w:szCs w:val="24"/>
          <w:lang w:eastAsia="en-AU"/>
        </w:rPr>
        <w:t xml:space="preserve"> </w:t>
      </w:r>
      <w:r w:rsidRPr="002A469C">
        <w:rPr>
          <w:color w:val="auto"/>
          <w:szCs w:val="24"/>
          <w:lang w:eastAsia="en-AU"/>
        </w:rPr>
        <w:t>for a further 12 months to ensure the transition from the use of BSWAT to an alternative tool approved by the Fair Work Commission is able to continue in an orderly manner and to provide reassurance to people with disability working in ADEs and their families and carers (Application).</w:t>
      </w:r>
    </w:p>
    <w:p w:rsidR="00E320AE" w:rsidRPr="002A469C" w:rsidRDefault="00E320AE" w:rsidP="00E320AE">
      <w:pPr>
        <w:pStyle w:val="SubmissionNormal"/>
        <w:numPr>
          <w:ilvl w:val="0"/>
          <w:numId w:val="35"/>
        </w:numPr>
        <w:ind w:left="1094" w:hanging="737"/>
        <w:rPr>
          <w:color w:val="auto"/>
          <w:szCs w:val="24"/>
          <w:lang w:eastAsia="en-AU"/>
        </w:rPr>
      </w:pPr>
      <w:r w:rsidRPr="002A469C">
        <w:rPr>
          <w:color w:val="auto"/>
          <w:szCs w:val="24"/>
          <w:lang w:eastAsia="en-AU"/>
        </w:rPr>
        <w:t xml:space="preserve">On 21 April 2015 the Commission advised the Commonwealth that it would not be possible to make a decision on the Application by 29 April 2015 and that once the </w:t>
      </w:r>
      <w:r>
        <w:rPr>
          <w:color w:val="auto"/>
          <w:szCs w:val="24"/>
          <w:lang w:eastAsia="en-AU"/>
        </w:rPr>
        <w:t>Original</w:t>
      </w:r>
      <w:r w:rsidRPr="002A469C">
        <w:rPr>
          <w:color w:val="auto"/>
          <w:szCs w:val="24"/>
          <w:lang w:eastAsia="en-AU"/>
        </w:rPr>
        <w:t xml:space="preserve"> Exemption expired, there would be no exemption in place.</w:t>
      </w:r>
    </w:p>
    <w:p w:rsidR="00E320AE" w:rsidRPr="002A469C" w:rsidRDefault="00E320AE" w:rsidP="00E320AE">
      <w:pPr>
        <w:pStyle w:val="SubmissionNormal"/>
        <w:numPr>
          <w:ilvl w:val="0"/>
          <w:numId w:val="35"/>
        </w:numPr>
        <w:ind w:left="1094" w:hanging="737"/>
        <w:rPr>
          <w:color w:val="auto"/>
          <w:szCs w:val="24"/>
          <w:lang w:eastAsia="en-AU"/>
        </w:rPr>
      </w:pPr>
      <w:r w:rsidRPr="002A469C">
        <w:rPr>
          <w:color w:val="auto"/>
          <w:szCs w:val="24"/>
          <w:lang w:eastAsia="en-AU"/>
        </w:rPr>
        <w:t xml:space="preserve">On 22 April 2015 the </w:t>
      </w:r>
      <w:r>
        <w:rPr>
          <w:color w:val="auto"/>
          <w:szCs w:val="24"/>
          <w:lang w:eastAsia="en-AU"/>
        </w:rPr>
        <w:t>Commonwealth</w:t>
      </w:r>
      <w:r w:rsidRPr="002A469C">
        <w:rPr>
          <w:color w:val="auto"/>
          <w:szCs w:val="24"/>
          <w:lang w:eastAsia="en-AU"/>
        </w:rPr>
        <w:t xml:space="preserve"> made an application for an interim exemption for the period between the expiry of the Original Exemption on 29 April 2015 and ‘the date on which the Commission publishes its determination in relation to the application of 21 April 2015’ (Interim Application).</w:t>
      </w:r>
    </w:p>
    <w:p w:rsidR="00E320AE" w:rsidRPr="002A469C" w:rsidRDefault="00E320AE" w:rsidP="00E320AE">
      <w:pPr>
        <w:pStyle w:val="SubmissionNormal"/>
        <w:numPr>
          <w:ilvl w:val="0"/>
          <w:numId w:val="35"/>
        </w:numPr>
        <w:ind w:left="1094" w:hanging="737"/>
        <w:rPr>
          <w:color w:val="auto"/>
          <w:szCs w:val="24"/>
          <w:lang w:eastAsia="en-AU"/>
        </w:rPr>
      </w:pPr>
      <w:r w:rsidRPr="002A469C">
        <w:rPr>
          <w:color w:val="auto"/>
          <w:szCs w:val="24"/>
          <w:lang w:eastAsia="en-AU"/>
        </w:rPr>
        <w:t xml:space="preserve">On 30 April 2015 the Commission granted an exemption to the Commonwealth and all </w:t>
      </w:r>
      <w:r>
        <w:rPr>
          <w:color w:val="auto"/>
          <w:szCs w:val="24"/>
          <w:lang w:eastAsia="en-AU"/>
        </w:rPr>
        <w:t>ADEs</w:t>
      </w:r>
      <w:r w:rsidRPr="002A469C">
        <w:rPr>
          <w:color w:val="auto"/>
          <w:szCs w:val="24"/>
          <w:lang w:eastAsia="en-AU"/>
        </w:rPr>
        <w:t xml:space="preserve"> using or proposing to use the </w:t>
      </w:r>
      <w:r>
        <w:rPr>
          <w:color w:val="auto"/>
          <w:szCs w:val="24"/>
          <w:lang w:eastAsia="en-AU"/>
        </w:rPr>
        <w:t>BSWAT (Interim Exemption)</w:t>
      </w:r>
      <w:r w:rsidRPr="002A469C">
        <w:rPr>
          <w:color w:val="auto"/>
          <w:szCs w:val="24"/>
          <w:lang w:eastAsia="en-AU"/>
        </w:rPr>
        <w:t xml:space="preserve">. The exemption was from the operation of sections 15, 24 and 29 of the Disability Discrimination Act for the period of four months, or until such time as a decision is made with respect to the Application, whichever is sooner, subject to certain conditions. The decision to grant the Interim Exemption was reviewed by the Administrative Appeals Tribunal (AAT) in a hearing on 14 July 2015. </w:t>
      </w:r>
    </w:p>
    <w:p w:rsidR="00E320AE" w:rsidRPr="002A469C" w:rsidRDefault="00E320AE" w:rsidP="00E320AE">
      <w:pPr>
        <w:pStyle w:val="SubmissionNormal"/>
        <w:numPr>
          <w:ilvl w:val="0"/>
          <w:numId w:val="35"/>
        </w:numPr>
        <w:ind w:left="1094" w:hanging="737"/>
        <w:rPr>
          <w:color w:val="auto"/>
          <w:szCs w:val="24"/>
          <w:lang w:eastAsia="en-AU"/>
        </w:rPr>
      </w:pPr>
      <w:r>
        <w:rPr>
          <w:color w:val="auto"/>
          <w:szCs w:val="24"/>
          <w:lang w:eastAsia="en-AU"/>
        </w:rPr>
        <w:t>Shortly after receipt of the Application t</w:t>
      </w:r>
      <w:r w:rsidRPr="002A469C">
        <w:rPr>
          <w:color w:val="auto"/>
          <w:szCs w:val="24"/>
          <w:lang w:eastAsia="en-AU"/>
        </w:rPr>
        <w:t xml:space="preserve">he Commission published the Application </w:t>
      </w:r>
      <w:r>
        <w:rPr>
          <w:color w:val="auto"/>
          <w:szCs w:val="24"/>
          <w:lang w:eastAsia="en-AU"/>
        </w:rPr>
        <w:t xml:space="preserve">and an Easy English explanation on </w:t>
      </w:r>
      <w:r w:rsidRPr="002A469C">
        <w:rPr>
          <w:color w:val="auto"/>
          <w:szCs w:val="24"/>
          <w:lang w:eastAsia="en-AU"/>
        </w:rPr>
        <w:t xml:space="preserve">its website and called for submissions. The date for submissions was ultimately extended to </w:t>
      </w:r>
      <w:r>
        <w:rPr>
          <w:color w:val="auto"/>
          <w:szCs w:val="24"/>
          <w:lang w:eastAsia="en-AU"/>
        </w:rPr>
        <w:t>23 October 2015. 35</w:t>
      </w:r>
      <w:r w:rsidRPr="002A469C">
        <w:rPr>
          <w:color w:val="auto"/>
          <w:szCs w:val="24"/>
          <w:lang w:eastAsia="en-AU"/>
        </w:rPr>
        <w:t xml:space="preserve"> submissions were received by the Commission. </w:t>
      </w:r>
      <w:r>
        <w:rPr>
          <w:color w:val="auto"/>
          <w:szCs w:val="24"/>
          <w:lang w:eastAsia="en-AU"/>
        </w:rPr>
        <w:t xml:space="preserve">Most of the submissions were posted on the Commission’s website. </w:t>
      </w:r>
    </w:p>
    <w:p w:rsidR="00E320AE" w:rsidRDefault="00E320AE" w:rsidP="00E320AE">
      <w:pPr>
        <w:pStyle w:val="SubmissionNormal"/>
        <w:numPr>
          <w:ilvl w:val="0"/>
          <w:numId w:val="35"/>
        </w:numPr>
        <w:ind w:left="1094" w:hanging="737"/>
        <w:rPr>
          <w:color w:val="auto"/>
          <w:szCs w:val="24"/>
          <w:lang w:eastAsia="en-AU"/>
        </w:rPr>
      </w:pPr>
      <w:r w:rsidRPr="002A469C">
        <w:rPr>
          <w:color w:val="auto"/>
          <w:szCs w:val="24"/>
          <w:lang w:eastAsia="en-AU"/>
        </w:rPr>
        <w:t xml:space="preserve">On 15 May 2015 the Commission requested the </w:t>
      </w:r>
      <w:r>
        <w:rPr>
          <w:color w:val="auto"/>
          <w:szCs w:val="24"/>
          <w:lang w:eastAsia="en-AU"/>
        </w:rPr>
        <w:t>Commonwealth</w:t>
      </w:r>
      <w:r w:rsidRPr="002A469C">
        <w:rPr>
          <w:color w:val="auto"/>
          <w:szCs w:val="24"/>
          <w:lang w:eastAsia="en-AU"/>
        </w:rPr>
        <w:t xml:space="preserve"> provide </w:t>
      </w:r>
      <w:r>
        <w:rPr>
          <w:color w:val="auto"/>
          <w:szCs w:val="24"/>
          <w:lang w:eastAsia="en-AU"/>
        </w:rPr>
        <w:t>further</w:t>
      </w:r>
      <w:r w:rsidRPr="002A469C">
        <w:rPr>
          <w:color w:val="auto"/>
          <w:szCs w:val="24"/>
          <w:lang w:eastAsia="en-AU"/>
        </w:rPr>
        <w:t xml:space="preserve"> information</w:t>
      </w:r>
      <w:r>
        <w:rPr>
          <w:color w:val="auto"/>
          <w:szCs w:val="24"/>
          <w:lang w:eastAsia="en-AU"/>
        </w:rPr>
        <w:t xml:space="preserve"> in relation to specific aspects of the Application. Further requests for additional information were also made on 31 July 2015 and 1 September 2015.  </w:t>
      </w:r>
    </w:p>
    <w:p w:rsidR="00E320AE" w:rsidRPr="00887CA7" w:rsidRDefault="00E320AE" w:rsidP="00E320AE">
      <w:pPr>
        <w:pStyle w:val="SubmissionNormal"/>
        <w:numPr>
          <w:ilvl w:val="0"/>
          <w:numId w:val="35"/>
        </w:numPr>
        <w:ind w:left="1094" w:hanging="737"/>
        <w:rPr>
          <w:color w:val="auto"/>
          <w:szCs w:val="24"/>
          <w:lang w:eastAsia="en-AU"/>
        </w:rPr>
      </w:pPr>
      <w:r w:rsidRPr="002A469C">
        <w:rPr>
          <w:color w:val="auto"/>
          <w:szCs w:val="24"/>
          <w:lang w:eastAsia="en-AU"/>
        </w:rPr>
        <w:lastRenderedPageBreak/>
        <w:t>Th</w:t>
      </w:r>
      <w:r>
        <w:rPr>
          <w:color w:val="auto"/>
          <w:szCs w:val="24"/>
          <w:lang w:eastAsia="en-AU"/>
        </w:rPr>
        <w:t>e</w:t>
      </w:r>
      <w:r w:rsidRPr="002A469C">
        <w:rPr>
          <w:color w:val="auto"/>
          <w:szCs w:val="24"/>
          <w:lang w:eastAsia="en-AU"/>
        </w:rPr>
        <w:t>s</w:t>
      </w:r>
      <w:r>
        <w:rPr>
          <w:color w:val="auto"/>
          <w:szCs w:val="24"/>
          <w:lang w:eastAsia="en-AU"/>
        </w:rPr>
        <w:t>e</w:t>
      </w:r>
      <w:r w:rsidRPr="002A469C">
        <w:rPr>
          <w:color w:val="auto"/>
          <w:szCs w:val="24"/>
          <w:lang w:eastAsia="en-AU"/>
        </w:rPr>
        <w:t xml:space="preserve"> request</w:t>
      </w:r>
      <w:r>
        <w:rPr>
          <w:color w:val="auto"/>
          <w:szCs w:val="24"/>
          <w:lang w:eastAsia="en-AU"/>
        </w:rPr>
        <w:t>s</w:t>
      </w:r>
      <w:r w:rsidRPr="002A469C">
        <w:rPr>
          <w:color w:val="auto"/>
          <w:szCs w:val="24"/>
          <w:lang w:eastAsia="en-AU"/>
        </w:rPr>
        <w:t xml:space="preserve"> </w:t>
      </w:r>
      <w:r>
        <w:rPr>
          <w:color w:val="auto"/>
          <w:szCs w:val="24"/>
          <w:lang w:eastAsia="en-AU"/>
        </w:rPr>
        <w:t>were</w:t>
      </w:r>
      <w:r w:rsidRPr="002A469C">
        <w:rPr>
          <w:color w:val="auto"/>
          <w:szCs w:val="24"/>
          <w:lang w:eastAsia="en-AU"/>
        </w:rPr>
        <w:t xml:space="preserve"> published on the Commission</w:t>
      </w:r>
      <w:r>
        <w:rPr>
          <w:color w:val="auto"/>
          <w:szCs w:val="24"/>
          <w:lang w:eastAsia="en-AU"/>
        </w:rPr>
        <w:t>’s</w:t>
      </w:r>
      <w:r w:rsidRPr="002A469C">
        <w:rPr>
          <w:color w:val="auto"/>
          <w:szCs w:val="24"/>
          <w:lang w:eastAsia="en-AU"/>
        </w:rPr>
        <w:t xml:space="preserve"> </w:t>
      </w:r>
      <w:r>
        <w:rPr>
          <w:color w:val="auto"/>
          <w:szCs w:val="24"/>
          <w:lang w:eastAsia="en-AU"/>
        </w:rPr>
        <w:t>website and</w:t>
      </w:r>
      <w:r w:rsidRPr="002A469C">
        <w:rPr>
          <w:color w:val="auto"/>
          <w:szCs w:val="24"/>
          <w:lang w:eastAsia="en-AU"/>
        </w:rPr>
        <w:t xml:space="preserve"> submissions </w:t>
      </w:r>
      <w:r>
        <w:rPr>
          <w:color w:val="auto"/>
          <w:szCs w:val="24"/>
          <w:lang w:eastAsia="en-AU"/>
        </w:rPr>
        <w:t>were invited in response</w:t>
      </w:r>
      <w:r w:rsidRPr="002A469C">
        <w:rPr>
          <w:color w:val="auto"/>
          <w:szCs w:val="24"/>
          <w:lang w:eastAsia="en-AU"/>
        </w:rPr>
        <w:t>.</w:t>
      </w:r>
      <w:r>
        <w:rPr>
          <w:color w:val="auto"/>
          <w:szCs w:val="24"/>
          <w:lang w:eastAsia="en-AU"/>
        </w:rPr>
        <w:t xml:space="preserve"> </w:t>
      </w:r>
    </w:p>
    <w:p w:rsidR="00E320AE" w:rsidRPr="002A469C" w:rsidRDefault="00E320AE" w:rsidP="00E320AE">
      <w:pPr>
        <w:pStyle w:val="SubmissionNormal"/>
        <w:numPr>
          <w:ilvl w:val="0"/>
          <w:numId w:val="35"/>
        </w:numPr>
        <w:ind w:left="1094" w:hanging="737"/>
        <w:rPr>
          <w:color w:val="auto"/>
          <w:szCs w:val="24"/>
          <w:lang w:eastAsia="en-AU"/>
        </w:rPr>
      </w:pPr>
      <w:r w:rsidRPr="002A469C">
        <w:rPr>
          <w:color w:val="auto"/>
          <w:szCs w:val="24"/>
          <w:lang w:eastAsia="en-AU"/>
        </w:rPr>
        <w:t xml:space="preserve">On 21 May 2015 the Commission received a request from </w:t>
      </w:r>
      <w:r>
        <w:rPr>
          <w:color w:val="auto"/>
          <w:szCs w:val="24"/>
          <w:lang w:eastAsia="en-AU"/>
        </w:rPr>
        <w:t>National Disability Services (</w:t>
      </w:r>
      <w:r w:rsidRPr="002A469C">
        <w:rPr>
          <w:color w:val="auto"/>
          <w:szCs w:val="24"/>
          <w:lang w:eastAsia="en-AU"/>
        </w:rPr>
        <w:t>NDS</w:t>
      </w:r>
      <w:r>
        <w:rPr>
          <w:color w:val="auto"/>
          <w:szCs w:val="24"/>
          <w:lang w:eastAsia="en-AU"/>
        </w:rPr>
        <w:t>)</w:t>
      </w:r>
      <w:r w:rsidRPr="002A469C">
        <w:rPr>
          <w:color w:val="auto"/>
          <w:szCs w:val="24"/>
          <w:lang w:eastAsia="en-AU"/>
        </w:rPr>
        <w:t xml:space="preserve"> on behalf of its members to join the Application</w:t>
      </w:r>
      <w:r>
        <w:rPr>
          <w:color w:val="auto"/>
          <w:szCs w:val="24"/>
          <w:lang w:eastAsia="en-AU"/>
        </w:rPr>
        <w:t xml:space="preserve">. The NDS is the peak industry body for non-government disability services. </w:t>
      </w:r>
      <w:r w:rsidRPr="002A469C">
        <w:rPr>
          <w:color w:val="auto"/>
          <w:szCs w:val="24"/>
          <w:lang w:eastAsia="en-AU"/>
        </w:rPr>
        <w:t>That request was granted. On 28 May 2015 the Commission received a submi</w:t>
      </w:r>
      <w:r>
        <w:rPr>
          <w:color w:val="auto"/>
          <w:szCs w:val="24"/>
          <w:lang w:eastAsia="en-AU"/>
        </w:rPr>
        <w:t>ssion from the NDS in support of the</w:t>
      </w:r>
      <w:r w:rsidRPr="002A469C">
        <w:rPr>
          <w:color w:val="auto"/>
          <w:szCs w:val="24"/>
          <w:lang w:eastAsia="en-AU"/>
        </w:rPr>
        <w:t xml:space="preserve"> </w:t>
      </w:r>
      <w:r>
        <w:rPr>
          <w:color w:val="auto"/>
          <w:szCs w:val="24"/>
          <w:lang w:eastAsia="en-AU"/>
        </w:rPr>
        <w:t>Application</w:t>
      </w:r>
      <w:r w:rsidRPr="002A469C">
        <w:rPr>
          <w:color w:val="auto"/>
          <w:szCs w:val="24"/>
          <w:lang w:eastAsia="en-AU"/>
        </w:rPr>
        <w:t xml:space="preserve">. </w:t>
      </w:r>
    </w:p>
    <w:p w:rsidR="00E320AE" w:rsidRDefault="00E320AE" w:rsidP="00E320AE">
      <w:pPr>
        <w:pStyle w:val="SubmissionNormal"/>
        <w:numPr>
          <w:ilvl w:val="0"/>
          <w:numId w:val="35"/>
        </w:numPr>
        <w:ind w:left="1094" w:hanging="737"/>
        <w:rPr>
          <w:color w:val="auto"/>
          <w:szCs w:val="24"/>
          <w:lang w:eastAsia="en-AU"/>
        </w:rPr>
      </w:pPr>
      <w:r w:rsidRPr="002A469C">
        <w:rPr>
          <w:color w:val="auto"/>
          <w:szCs w:val="24"/>
          <w:lang w:eastAsia="en-AU"/>
        </w:rPr>
        <w:t>On 5 June</w:t>
      </w:r>
      <w:r>
        <w:rPr>
          <w:color w:val="auto"/>
          <w:szCs w:val="24"/>
          <w:lang w:eastAsia="en-AU"/>
        </w:rPr>
        <w:t xml:space="preserve"> 2015</w:t>
      </w:r>
      <w:r w:rsidRPr="002A469C">
        <w:rPr>
          <w:color w:val="auto"/>
          <w:szCs w:val="24"/>
          <w:lang w:eastAsia="en-AU"/>
        </w:rPr>
        <w:t xml:space="preserve"> the Fair Work Commission made an order by consent in proceedings AM 2013/30, an application to vary the Supported Employment Services Award 2010 (Award). The order provided for the variation of the Award to remove BSWAT as an ‘approved wage assessment tool’ under clause 14.4 of </w:t>
      </w:r>
      <w:r>
        <w:rPr>
          <w:color w:val="auto"/>
          <w:szCs w:val="24"/>
          <w:lang w:eastAsia="en-AU"/>
        </w:rPr>
        <w:t xml:space="preserve">the </w:t>
      </w:r>
      <w:r w:rsidRPr="002A469C">
        <w:rPr>
          <w:color w:val="auto"/>
          <w:szCs w:val="24"/>
          <w:lang w:eastAsia="en-AU"/>
        </w:rPr>
        <w:t>Award and insert transitional provisions phasing out the use of BSWAT. The Award has been amended accordingly with the insertion of clause 14.6.</w:t>
      </w:r>
    </w:p>
    <w:p w:rsidR="00E320AE" w:rsidRDefault="00E320AE" w:rsidP="00E320AE">
      <w:pPr>
        <w:pStyle w:val="SubmissionNormal"/>
        <w:keepNext/>
        <w:numPr>
          <w:ilvl w:val="0"/>
          <w:numId w:val="35"/>
        </w:numPr>
        <w:ind w:left="1094" w:hanging="737"/>
        <w:rPr>
          <w:color w:val="auto"/>
          <w:szCs w:val="24"/>
          <w:lang w:eastAsia="en-AU"/>
        </w:rPr>
      </w:pPr>
      <w:r>
        <w:rPr>
          <w:color w:val="auto"/>
          <w:szCs w:val="24"/>
          <w:lang w:eastAsia="en-AU"/>
        </w:rPr>
        <w:t>Clause 14.6 of the Award now provides as follows:</w:t>
      </w:r>
    </w:p>
    <w:p w:rsidR="00E320AE" w:rsidRPr="00314A99" w:rsidRDefault="00E320AE" w:rsidP="00E320AE">
      <w:pPr>
        <w:pStyle w:val="SubmissionNormal"/>
        <w:ind w:left="1440"/>
        <w:rPr>
          <w:color w:val="auto"/>
          <w:sz w:val="22"/>
          <w:szCs w:val="22"/>
          <w:lang w:eastAsia="en-AU"/>
        </w:rPr>
      </w:pPr>
      <w:r w:rsidRPr="00314A99">
        <w:rPr>
          <w:color w:val="auto"/>
          <w:sz w:val="22"/>
          <w:szCs w:val="22"/>
          <w:lang w:eastAsia="en-AU"/>
        </w:rPr>
        <w:t>14.6 Transitional arrangement</w:t>
      </w:r>
    </w:p>
    <w:p w:rsidR="00E320AE" w:rsidRPr="00314A99" w:rsidRDefault="00E320AE" w:rsidP="00E320AE">
      <w:pPr>
        <w:pStyle w:val="SubmissionNormal"/>
        <w:ind w:left="2160" w:hanging="720"/>
        <w:rPr>
          <w:color w:val="auto"/>
          <w:sz w:val="22"/>
          <w:szCs w:val="22"/>
          <w:lang w:eastAsia="en-AU"/>
        </w:rPr>
      </w:pPr>
      <w:r w:rsidRPr="00314A99">
        <w:rPr>
          <w:color w:val="auto"/>
          <w:sz w:val="22"/>
          <w:szCs w:val="22"/>
          <w:lang w:eastAsia="en-AU"/>
        </w:rPr>
        <w:t xml:space="preserve">(a) </w:t>
      </w:r>
      <w:r>
        <w:rPr>
          <w:color w:val="auto"/>
          <w:sz w:val="22"/>
          <w:szCs w:val="22"/>
          <w:lang w:eastAsia="en-AU"/>
        </w:rPr>
        <w:tab/>
      </w:r>
      <w:r w:rsidRPr="00314A99">
        <w:rPr>
          <w:color w:val="auto"/>
          <w:sz w:val="22"/>
          <w:szCs w:val="22"/>
          <w:lang w:eastAsia="en-AU"/>
        </w:rPr>
        <w:t>The Business Services Wage Assessment Tool is no longer an approved wage assessment tool for the purpose of this clause. Continued use of the Business</w:t>
      </w:r>
      <w:r>
        <w:rPr>
          <w:color w:val="auto"/>
          <w:sz w:val="22"/>
          <w:szCs w:val="22"/>
          <w:lang w:eastAsia="en-AU"/>
        </w:rPr>
        <w:t xml:space="preserve"> </w:t>
      </w:r>
      <w:r w:rsidRPr="00314A99">
        <w:rPr>
          <w:color w:val="auto"/>
          <w:sz w:val="22"/>
          <w:szCs w:val="22"/>
          <w:lang w:eastAsia="en-AU"/>
        </w:rPr>
        <w:t>Services Wage Assessment tool under this clause is only permissible in terms of this transitional arrangement.</w:t>
      </w:r>
    </w:p>
    <w:p w:rsidR="00E320AE" w:rsidRPr="00314A99" w:rsidRDefault="00E320AE" w:rsidP="00E320AE">
      <w:pPr>
        <w:pStyle w:val="SubmissionNormal"/>
        <w:ind w:left="2160" w:hanging="720"/>
        <w:rPr>
          <w:color w:val="auto"/>
          <w:sz w:val="22"/>
          <w:szCs w:val="22"/>
          <w:lang w:eastAsia="en-AU"/>
        </w:rPr>
      </w:pPr>
      <w:r w:rsidRPr="00314A99">
        <w:rPr>
          <w:color w:val="auto"/>
          <w:sz w:val="22"/>
          <w:szCs w:val="22"/>
          <w:lang w:eastAsia="en-AU"/>
        </w:rPr>
        <w:t xml:space="preserve">(b) </w:t>
      </w:r>
      <w:r>
        <w:rPr>
          <w:color w:val="auto"/>
          <w:sz w:val="22"/>
          <w:szCs w:val="22"/>
          <w:lang w:eastAsia="en-AU"/>
        </w:rPr>
        <w:tab/>
      </w:r>
      <w:r w:rsidRPr="00314A99">
        <w:rPr>
          <w:color w:val="auto"/>
          <w:sz w:val="22"/>
          <w:szCs w:val="22"/>
          <w:lang w:eastAsia="en-AU"/>
        </w:rPr>
        <w:t>A supported employment service that is using the Business Services Wage Assessment Tool may continue to use the Business Services Wage Assessment tool:</w:t>
      </w:r>
    </w:p>
    <w:p w:rsidR="00E320AE" w:rsidRPr="00314A99" w:rsidRDefault="00E320AE" w:rsidP="00E320AE">
      <w:pPr>
        <w:pStyle w:val="SubmissionNormal"/>
        <w:ind w:left="2880" w:hanging="720"/>
        <w:rPr>
          <w:color w:val="auto"/>
          <w:sz w:val="22"/>
          <w:szCs w:val="22"/>
          <w:lang w:eastAsia="en-AU"/>
        </w:rPr>
      </w:pPr>
      <w:r w:rsidRPr="00314A99">
        <w:rPr>
          <w:color w:val="auto"/>
          <w:sz w:val="22"/>
          <w:szCs w:val="22"/>
          <w:lang w:eastAsia="en-AU"/>
        </w:rPr>
        <w:t xml:space="preserve">(i) </w:t>
      </w:r>
      <w:r>
        <w:rPr>
          <w:color w:val="auto"/>
          <w:sz w:val="22"/>
          <w:szCs w:val="22"/>
          <w:lang w:eastAsia="en-AU"/>
        </w:rPr>
        <w:tab/>
      </w:r>
      <w:r w:rsidRPr="00314A99">
        <w:rPr>
          <w:color w:val="auto"/>
          <w:sz w:val="22"/>
          <w:szCs w:val="22"/>
          <w:lang w:eastAsia="en-AU"/>
        </w:rPr>
        <w:t>until 31 October 2015 provided that within 1 month of the date of this variation the supported employment service indicates in writing to the Fair Work Commission its decision to transition to another approved wage assessment tool and the name of the tool it intends to transition to; and</w:t>
      </w:r>
    </w:p>
    <w:p w:rsidR="00E320AE" w:rsidRPr="00314A99" w:rsidRDefault="00E320AE" w:rsidP="00E320AE">
      <w:pPr>
        <w:pStyle w:val="SubmissionNormal"/>
        <w:ind w:left="2880" w:hanging="720"/>
        <w:rPr>
          <w:color w:val="auto"/>
          <w:sz w:val="22"/>
          <w:szCs w:val="22"/>
          <w:lang w:eastAsia="en-AU"/>
        </w:rPr>
      </w:pPr>
      <w:r w:rsidRPr="00314A99">
        <w:rPr>
          <w:color w:val="auto"/>
          <w:sz w:val="22"/>
          <w:szCs w:val="22"/>
          <w:lang w:eastAsia="en-AU"/>
        </w:rPr>
        <w:t xml:space="preserve">(ii) </w:t>
      </w:r>
      <w:r>
        <w:rPr>
          <w:color w:val="auto"/>
          <w:sz w:val="22"/>
          <w:szCs w:val="22"/>
          <w:lang w:eastAsia="en-AU"/>
        </w:rPr>
        <w:tab/>
      </w:r>
      <w:r w:rsidRPr="00314A99">
        <w:rPr>
          <w:color w:val="auto"/>
          <w:sz w:val="22"/>
          <w:szCs w:val="22"/>
          <w:lang w:eastAsia="en-AU"/>
        </w:rPr>
        <w:t>for a further transitional period not extending past close of business, Monday 29 February 2016 granted by the Fair Work Commission following application in writing by the supported employment service.</w:t>
      </w:r>
    </w:p>
    <w:p w:rsidR="00E320AE" w:rsidRDefault="00E320AE" w:rsidP="00E320AE">
      <w:pPr>
        <w:pStyle w:val="SubmissionNormal"/>
        <w:numPr>
          <w:ilvl w:val="0"/>
          <w:numId w:val="35"/>
        </w:numPr>
        <w:ind w:left="1094" w:hanging="737"/>
        <w:rPr>
          <w:color w:val="auto"/>
          <w:szCs w:val="24"/>
          <w:lang w:eastAsia="en-AU"/>
        </w:rPr>
      </w:pPr>
      <w:r>
        <w:rPr>
          <w:color w:val="auto"/>
          <w:szCs w:val="24"/>
          <w:lang w:eastAsia="en-AU"/>
        </w:rPr>
        <w:t xml:space="preserve">On 19 June 2015 the Commission included notice of the Application in its e-bulletin emailed to all people signed up to the Commission's emailing list. The e-bulletin was also published on the Commission website. </w:t>
      </w:r>
    </w:p>
    <w:p w:rsidR="00E320AE" w:rsidRPr="002A469C" w:rsidRDefault="00E320AE" w:rsidP="00E320AE">
      <w:pPr>
        <w:pStyle w:val="SubmissionNormal"/>
        <w:numPr>
          <w:ilvl w:val="0"/>
          <w:numId w:val="35"/>
        </w:numPr>
        <w:ind w:left="1094" w:hanging="737"/>
        <w:rPr>
          <w:color w:val="auto"/>
          <w:szCs w:val="24"/>
          <w:lang w:eastAsia="en-AU"/>
        </w:rPr>
      </w:pPr>
      <w:r w:rsidRPr="002A469C">
        <w:rPr>
          <w:color w:val="auto"/>
          <w:szCs w:val="24"/>
          <w:lang w:eastAsia="en-AU"/>
        </w:rPr>
        <w:t xml:space="preserve">On 25 June 2015, as a result of the Order of the Fair Work Commission, the </w:t>
      </w:r>
      <w:r>
        <w:rPr>
          <w:color w:val="auto"/>
          <w:szCs w:val="24"/>
          <w:lang w:eastAsia="en-AU"/>
        </w:rPr>
        <w:t>Commonwealth</w:t>
      </w:r>
      <w:r w:rsidRPr="002A469C">
        <w:rPr>
          <w:color w:val="auto"/>
          <w:szCs w:val="24"/>
          <w:lang w:eastAsia="en-AU"/>
        </w:rPr>
        <w:t xml:space="preserve"> amended </w:t>
      </w:r>
      <w:r>
        <w:rPr>
          <w:color w:val="auto"/>
          <w:szCs w:val="24"/>
          <w:lang w:eastAsia="en-AU"/>
        </w:rPr>
        <w:t>its</w:t>
      </w:r>
      <w:r w:rsidRPr="002A469C">
        <w:rPr>
          <w:color w:val="auto"/>
          <w:szCs w:val="24"/>
          <w:lang w:eastAsia="en-AU"/>
        </w:rPr>
        <w:t xml:space="preserve"> Application from a request for exemption for 12 months to an exemption to the close of business on 29 February 2016</w:t>
      </w:r>
      <w:r>
        <w:rPr>
          <w:color w:val="auto"/>
          <w:szCs w:val="24"/>
          <w:lang w:eastAsia="en-AU"/>
        </w:rPr>
        <w:t xml:space="preserve"> to reflect the terms of that Order</w:t>
      </w:r>
      <w:r w:rsidRPr="002A469C">
        <w:rPr>
          <w:color w:val="auto"/>
          <w:szCs w:val="24"/>
          <w:lang w:eastAsia="en-AU"/>
        </w:rPr>
        <w:t xml:space="preserve">.  </w:t>
      </w:r>
    </w:p>
    <w:p w:rsidR="00E320AE" w:rsidRDefault="00E320AE" w:rsidP="00E320AE">
      <w:pPr>
        <w:pStyle w:val="SubmissionNormal"/>
        <w:numPr>
          <w:ilvl w:val="0"/>
          <w:numId w:val="35"/>
        </w:numPr>
        <w:ind w:left="1094" w:hanging="737"/>
        <w:rPr>
          <w:color w:val="auto"/>
          <w:szCs w:val="24"/>
          <w:lang w:eastAsia="en-AU"/>
        </w:rPr>
      </w:pPr>
      <w:r>
        <w:rPr>
          <w:color w:val="auto"/>
          <w:szCs w:val="24"/>
          <w:lang w:eastAsia="en-AU"/>
        </w:rPr>
        <w:t>On 26 June 2015 the NDS provided further information in relation to the financial impact of the transition away from BSWAT on ADEs.</w:t>
      </w:r>
    </w:p>
    <w:p w:rsidR="00E320AE" w:rsidRPr="002A469C" w:rsidRDefault="00E320AE" w:rsidP="00E320AE">
      <w:pPr>
        <w:pStyle w:val="SubmissionNormal"/>
        <w:numPr>
          <w:ilvl w:val="0"/>
          <w:numId w:val="35"/>
        </w:numPr>
        <w:ind w:left="1094" w:hanging="737"/>
        <w:rPr>
          <w:color w:val="auto"/>
          <w:szCs w:val="24"/>
          <w:lang w:eastAsia="en-AU"/>
        </w:rPr>
      </w:pPr>
      <w:r w:rsidRPr="002A469C">
        <w:rPr>
          <w:color w:val="auto"/>
          <w:szCs w:val="24"/>
          <w:lang w:eastAsia="en-AU"/>
        </w:rPr>
        <w:t xml:space="preserve">On 29 June 2015 the Commission was advised that NDS intended to commission KPMG to analyse the impact of increased wage costs incurred </w:t>
      </w:r>
      <w:r w:rsidRPr="002A469C">
        <w:rPr>
          <w:color w:val="auto"/>
          <w:szCs w:val="24"/>
          <w:lang w:eastAsia="en-AU"/>
        </w:rPr>
        <w:lastRenderedPageBreak/>
        <w:t xml:space="preserve">by ADEs moving from the BSWAT to one of the other wage assessment tools available. </w:t>
      </w:r>
    </w:p>
    <w:p w:rsidR="00E320AE" w:rsidRPr="002A469C" w:rsidRDefault="00E320AE" w:rsidP="00E320AE">
      <w:pPr>
        <w:pStyle w:val="SubmissionNormal"/>
        <w:numPr>
          <w:ilvl w:val="0"/>
          <w:numId w:val="35"/>
        </w:numPr>
        <w:ind w:left="1094" w:hanging="737"/>
        <w:rPr>
          <w:color w:val="auto"/>
          <w:szCs w:val="24"/>
          <w:lang w:eastAsia="en-AU"/>
        </w:rPr>
      </w:pPr>
      <w:r w:rsidRPr="002A469C">
        <w:rPr>
          <w:color w:val="auto"/>
          <w:szCs w:val="24"/>
          <w:lang w:eastAsia="en-AU"/>
        </w:rPr>
        <w:t xml:space="preserve">On 29 June 2015 the Commission published the amended application on its website and called for further submissions in relation to the </w:t>
      </w:r>
      <w:r>
        <w:rPr>
          <w:color w:val="auto"/>
          <w:szCs w:val="24"/>
          <w:lang w:eastAsia="en-AU"/>
        </w:rPr>
        <w:t>Application</w:t>
      </w:r>
      <w:r w:rsidRPr="002A469C">
        <w:rPr>
          <w:color w:val="auto"/>
          <w:szCs w:val="24"/>
          <w:lang w:eastAsia="en-AU"/>
        </w:rPr>
        <w:t xml:space="preserve"> and in response to the additional information provided by the applicants. </w:t>
      </w:r>
    </w:p>
    <w:p w:rsidR="00E320AE" w:rsidRPr="002A469C" w:rsidRDefault="00E320AE" w:rsidP="00E320AE">
      <w:pPr>
        <w:pStyle w:val="SubmissionNormal"/>
        <w:numPr>
          <w:ilvl w:val="0"/>
          <w:numId w:val="35"/>
        </w:numPr>
        <w:ind w:left="1094" w:hanging="737"/>
        <w:rPr>
          <w:color w:val="auto"/>
          <w:szCs w:val="24"/>
          <w:lang w:eastAsia="en-AU"/>
        </w:rPr>
      </w:pPr>
      <w:r w:rsidRPr="002A469C">
        <w:rPr>
          <w:color w:val="auto"/>
          <w:szCs w:val="24"/>
          <w:lang w:eastAsia="en-AU"/>
        </w:rPr>
        <w:t xml:space="preserve">On 25 July 2015 the AAT set aside the </w:t>
      </w:r>
      <w:r>
        <w:rPr>
          <w:color w:val="auto"/>
          <w:szCs w:val="24"/>
          <w:lang w:eastAsia="en-AU"/>
        </w:rPr>
        <w:t>Commission's decision to grant the Interim Exemption</w:t>
      </w:r>
      <w:r w:rsidRPr="002A469C">
        <w:rPr>
          <w:color w:val="auto"/>
          <w:szCs w:val="24"/>
          <w:lang w:eastAsia="en-AU"/>
        </w:rPr>
        <w:t xml:space="preserve"> and remitted the matter to the Commission. The Interim Application has yet to be reconsidered by the Commission. </w:t>
      </w:r>
    </w:p>
    <w:p w:rsidR="00E320AE" w:rsidRPr="002A469C" w:rsidRDefault="00E320AE" w:rsidP="00E320AE">
      <w:pPr>
        <w:pStyle w:val="SubmissionNormal"/>
        <w:numPr>
          <w:ilvl w:val="0"/>
          <w:numId w:val="35"/>
        </w:numPr>
        <w:ind w:left="1094" w:hanging="737"/>
        <w:rPr>
          <w:color w:val="auto"/>
          <w:szCs w:val="24"/>
          <w:lang w:eastAsia="en-AU"/>
        </w:rPr>
      </w:pPr>
      <w:r>
        <w:rPr>
          <w:color w:val="auto"/>
          <w:szCs w:val="24"/>
          <w:lang w:eastAsia="en-AU"/>
        </w:rPr>
        <w:t xml:space="preserve">On 4 and </w:t>
      </w:r>
      <w:r w:rsidRPr="002A469C">
        <w:rPr>
          <w:color w:val="auto"/>
          <w:szCs w:val="24"/>
          <w:lang w:eastAsia="en-AU"/>
        </w:rPr>
        <w:t xml:space="preserve">11 September 2015 the Commission received </w:t>
      </w:r>
      <w:r>
        <w:rPr>
          <w:color w:val="auto"/>
          <w:szCs w:val="24"/>
          <w:lang w:eastAsia="en-AU"/>
        </w:rPr>
        <w:t>requests from two</w:t>
      </w:r>
      <w:r w:rsidRPr="002A469C">
        <w:rPr>
          <w:color w:val="auto"/>
          <w:szCs w:val="24"/>
          <w:lang w:eastAsia="en-AU"/>
        </w:rPr>
        <w:t xml:space="preserve"> further ADEs to</w:t>
      </w:r>
      <w:r>
        <w:rPr>
          <w:color w:val="auto"/>
          <w:szCs w:val="24"/>
          <w:lang w:eastAsia="en-AU"/>
        </w:rPr>
        <w:t xml:space="preserve"> join the Application, namely </w:t>
      </w:r>
      <w:r w:rsidRPr="00F268A0">
        <w:rPr>
          <w:color w:val="auto"/>
          <w:szCs w:val="24"/>
          <w:lang w:eastAsia="en-AU"/>
        </w:rPr>
        <w:t>Multitas</w:t>
      </w:r>
      <w:r>
        <w:rPr>
          <w:color w:val="auto"/>
          <w:szCs w:val="24"/>
          <w:lang w:eastAsia="en-AU"/>
        </w:rPr>
        <w:t xml:space="preserve">k Human Resource Foundation Ltd and </w:t>
      </w:r>
      <w:r w:rsidRPr="007629CA">
        <w:rPr>
          <w:color w:val="auto"/>
          <w:szCs w:val="24"/>
          <w:lang w:eastAsia="en-AU"/>
        </w:rPr>
        <w:t>Vincent Industries Inc.</w:t>
      </w:r>
      <w:r w:rsidRPr="002A469C">
        <w:rPr>
          <w:color w:val="auto"/>
          <w:szCs w:val="24"/>
          <w:lang w:eastAsia="en-AU"/>
        </w:rPr>
        <w:t xml:space="preserve"> </w:t>
      </w:r>
      <w:r>
        <w:rPr>
          <w:color w:val="auto"/>
          <w:szCs w:val="24"/>
          <w:lang w:eastAsia="en-AU"/>
        </w:rPr>
        <w:t xml:space="preserve">Those requests were granted. </w:t>
      </w:r>
    </w:p>
    <w:p w:rsidR="00E320AE" w:rsidRPr="005957FB" w:rsidRDefault="00E320AE" w:rsidP="00E320AE">
      <w:pPr>
        <w:pStyle w:val="SubmissionNormal"/>
        <w:numPr>
          <w:ilvl w:val="0"/>
          <w:numId w:val="35"/>
        </w:numPr>
        <w:ind w:left="1094" w:hanging="737"/>
        <w:rPr>
          <w:color w:val="auto"/>
          <w:szCs w:val="24"/>
          <w:lang w:eastAsia="en-AU"/>
        </w:rPr>
      </w:pPr>
      <w:r w:rsidRPr="005957FB">
        <w:rPr>
          <w:color w:val="auto"/>
          <w:szCs w:val="24"/>
          <w:lang w:eastAsia="en-AU"/>
        </w:rPr>
        <w:t>On 15 September 2015 the Commission received an embargoed copy of the KPMG report, ‘Assessing the impact of increasing wage costs on Australian Disability Enterprises’. The embargo was lifted on 30 September 2015 and the report loaded onto the Commission website with an invitation for further submissions on the report. No submissions were received.</w:t>
      </w:r>
      <w:r>
        <w:rPr>
          <w:color w:val="auto"/>
          <w:szCs w:val="24"/>
          <w:lang w:eastAsia="en-AU"/>
        </w:rPr>
        <w:t xml:space="preserve"> </w:t>
      </w:r>
      <w:r w:rsidRPr="005957FB">
        <w:rPr>
          <w:color w:val="auto"/>
          <w:szCs w:val="24"/>
          <w:lang w:eastAsia="en-AU"/>
        </w:rPr>
        <w:t>Submissions ultimately closed on 23 October 2015.</w:t>
      </w:r>
    </w:p>
    <w:p w:rsidR="00E320AE" w:rsidRPr="002A469C" w:rsidRDefault="00E320AE" w:rsidP="00E320AE">
      <w:pPr>
        <w:pStyle w:val="Heading1"/>
        <w:rPr>
          <w:lang w:eastAsia="en-AU"/>
        </w:rPr>
      </w:pPr>
      <w:r w:rsidRPr="002A469C">
        <w:rPr>
          <w:lang w:eastAsia="en-AU"/>
        </w:rPr>
        <w:t>Consideration by the Commission</w:t>
      </w:r>
    </w:p>
    <w:p w:rsidR="00E320AE" w:rsidRPr="0001589A" w:rsidRDefault="00E320AE" w:rsidP="00E320AE">
      <w:pPr>
        <w:pStyle w:val="SubmissionNormal"/>
        <w:numPr>
          <w:ilvl w:val="0"/>
          <w:numId w:val="35"/>
        </w:numPr>
        <w:ind w:left="1094" w:hanging="737"/>
        <w:rPr>
          <w:color w:val="auto"/>
          <w:szCs w:val="24"/>
          <w:lang w:eastAsia="en-AU"/>
        </w:rPr>
      </w:pPr>
      <w:r w:rsidRPr="0001589A">
        <w:rPr>
          <w:color w:val="auto"/>
          <w:szCs w:val="24"/>
          <w:lang w:eastAsia="en-AU"/>
        </w:rPr>
        <w:t>The reasons for granting the exemption are set out below. In deciding whether to grant the exemption, the Commission considered all of the relevant circumstances to determine whether it is reasonable to grant the exemption. In doing so, the Commission has also considered the following:</w:t>
      </w:r>
    </w:p>
    <w:p w:rsidR="00E320AE" w:rsidRPr="0001589A" w:rsidRDefault="00E320AE" w:rsidP="00E320AE">
      <w:pPr>
        <w:pStyle w:val="SubmissionNormal"/>
        <w:numPr>
          <w:ilvl w:val="1"/>
          <w:numId w:val="35"/>
        </w:numPr>
        <w:rPr>
          <w:color w:val="auto"/>
          <w:szCs w:val="24"/>
          <w:lang w:eastAsia="en-AU"/>
        </w:rPr>
      </w:pPr>
      <w:r>
        <w:rPr>
          <w:color w:val="auto"/>
          <w:szCs w:val="24"/>
          <w:lang w:eastAsia="en-AU"/>
        </w:rPr>
        <w:t>w</w:t>
      </w:r>
      <w:r w:rsidRPr="0001589A">
        <w:rPr>
          <w:color w:val="auto"/>
          <w:szCs w:val="24"/>
          <w:lang w:eastAsia="en-AU"/>
        </w:rPr>
        <w:t>hether an exemption is necessary;</w:t>
      </w:r>
    </w:p>
    <w:p w:rsidR="00E320AE" w:rsidRPr="0001589A" w:rsidRDefault="00E320AE" w:rsidP="00E320AE">
      <w:pPr>
        <w:pStyle w:val="SubmissionNormal"/>
        <w:numPr>
          <w:ilvl w:val="1"/>
          <w:numId w:val="35"/>
        </w:numPr>
        <w:rPr>
          <w:color w:val="auto"/>
          <w:szCs w:val="24"/>
          <w:lang w:eastAsia="en-AU"/>
        </w:rPr>
      </w:pPr>
      <w:r>
        <w:rPr>
          <w:color w:val="auto"/>
          <w:szCs w:val="24"/>
          <w:lang w:eastAsia="en-AU"/>
        </w:rPr>
        <w:t>t</w:t>
      </w:r>
      <w:r w:rsidRPr="0001589A">
        <w:rPr>
          <w:color w:val="auto"/>
          <w:szCs w:val="24"/>
          <w:lang w:eastAsia="en-AU"/>
        </w:rPr>
        <w:t xml:space="preserve">he objects of the Disability Discrimination Act; </w:t>
      </w:r>
    </w:p>
    <w:p w:rsidR="00E320AE" w:rsidRPr="0001589A" w:rsidRDefault="00E320AE" w:rsidP="00E320AE">
      <w:pPr>
        <w:pStyle w:val="SubmissionNormal"/>
        <w:numPr>
          <w:ilvl w:val="1"/>
          <w:numId w:val="35"/>
        </w:numPr>
        <w:rPr>
          <w:color w:val="auto"/>
          <w:szCs w:val="24"/>
          <w:lang w:eastAsia="en-AU"/>
        </w:rPr>
      </w:pPr>
      <w:r w:rsidRPr="0001589A">
        <w:rPr>
          <w:color w:val="auto"/>
          <w:szCs w:val="24"/>
          <w:lang w:eastAsia="en-AU"/>
        </w:rPr>
        <w:t xml:space="preserve">the applicant's reasons for seeking an exemption; </w:t>
      </w:r>
    </w:p>
    <w:p w:rsidR="00E320AE" w:rsidRPr="0001589A" w:rsidRDefault="00E320AE" w:rsidP="00E320AE">
      <w:pPr>
        <w:pStyle w:val="SubmissionNormal"/>
        <w:numPr>
          <w:ilvl w:val="1"/>
          <w:numId w:val="35"/>
        </w:numPr>
        <w:rPr>
          <w:color w:val="auto"/>
          <w:szCs w:val="24"/>
          <w:lang w:eastAsia="en-AU"/>
        </w:rPr>
      </w:pPr>
      <w:r>
        <w:rPr>
          <w:color w:val="auto"/>
          <w:szCs w:val="24"/>
          <w:lang w:eastAsia="en-AU"/>
        </w:rPr>
        <w:t>s</w:t>
      </w:r>
      <w:r w:rsidRPr="0001589A">
        <w:rPr>
          <w:color w:val="auto"/>
          <w:szCs w:val="24"/>
          <w:lang w:eastAsia="en-AU"/>
        </w:rPr>
        <w:t>ubmissions by interested parties, including arguments for and against granting the exemption; and</w:t>
      </w:r>
    </w:p>
    <w:p w:rsidR="00E320AE" w:rsidRPr="0001589A" w:rsidRDefault="00E320AE" w:rsidP="00E320AE">
      <w:pPr>
        <w:pStyle w:val="SubmissionNormal"/>
        <w:numPr>
          <w:ilvl w:val="1"/>
          <w:numId w:val="35"/>
        </w:numPr>
        <w:rPr>
          <w:color w:val="auto"/>
          <w:szCs w:val="24"/>
          <w:lang w:eastAsia="en-AU"/>
        </w:rPr>
      </w:pPr>
      <w:r>
        <w:rPr>
          <w:color w:val="auto"/>
          <w:szCs w:val="24"/>
          <w:lang w:eastAsia="en-AU"/>
        </w:rPr>
        <w:t>a</w:t>
      </w:r>
      <w:r w:rsidRPr="0001589A">
        <w:rPr>
          <w:color w:val="auto"/>
          <w:szCs w:val="24"/>
          <w:lang w:eastAsia="en-AU"/>
        </w:rPr>
        <w:t xml:space="preserve">ll relevant provisions of the Disability Discrimination Act. </w:t>
      </w:r>
    </w:p>
    <w:p w:rsidR="00E320AE" w:rsidRPr="002A469C" w:rsidRDefault="00E320AE" w:rsidP="00E320AE">
      <w:pPr>
        <w:pStyle w:val="SubmissionNormal"/>
        <w:numPr>
          <w:ilvl w:val="0"/>
          <w:numId w:val="35"/>
        </w:numPr>
        <w:ind w:left="1094" w:hanging="737"/>
        <w:rPr>
          <w:color w:val="auto"/>
          <w:szCs w:val="24"/>
          <w:lang w:eastAsia="en-AU"/>
        </w:rPr>
      </w:pPr>
      <w:r w:rsidRPr="002A469C">
        <w:rPr>
          <w:color w:val="auto"/>
          <w:szCs w:val="24"/>
          <w:lang w:eastAsia="en-AU"/>
        </w:rPr>
        <w:t>In making its decision, the Commission had regard to the following</w:t>
      </w:r>
      <w:r>
        <w:rPr>
          <w:color w:val="auto"/>
          <w:szCs w:val="24"/>
          <w:lang w:eastAsia="en-AU"/>
        </w:rPr>
        <w:t xml:space="preserve"> documents</w:t>
      </w:r>
      <w:r w:rsidRPr="002A469C">
        <w:rPr>
          <w:color w:val="auto"/>
          <w:szCs w:val="24"/>
          <w:lang w:eastAsia="en-AU"/>
        </w:rPr>
        <w:t>:</w:t>
      </w:r>
    </w:p>
    <w:p w:rsidR="00E320AE" w:rsidRPr="002A469C" w:rsidRDefault="00E320AE" w:rsidP="00E320AE">
      <w:pPr>
        <w:pStyle w:val="SubmissionNormal"/>
        <w:numPr>
          <w:ilvl w:val="1"/>
          <w:numId w:val="35"/>
        </w:numPr>
        <w:ind w:left="1434" w:hanging="357"/>
        <w:contextualSpacing/>
        <w:rPr>
          <w:color w:val="auto"/>
          <w:szCs w:val="24"/>
          <w:lang w:eastAsia="en-AU"/>
        </w:rPr>
      </w:pPr>
      <w:r>
        <w:rPr>
          <w:color w:val="auto"/>
          <w:szCs w:val="24"/>
          <w:lang w:eastAsia="en-AU"/>
        </w:rPr>
        <w:t>t</w:t>
      </w:r>
      <w:r w:rsidRPr="002A469C">
        <w:rPr>
          <w:color w:val="auto"/>
          <w:szCs w:val="24"/>
          <w:lang w:eastAsia="en-AU"/>
        </w:rPr>
        <w:t>he application for exemption received on 21 April 2015,</w:t>
      </w:r>
    </w:p>
    <w:p w:rsidR="00E320AE" w:rsidRPr="002A469C" w:rsidRDefault="00E320AE" w:rsidP="00E320AE">
      <w:pPr>
        <w:pStyle w:val="SubmissionNormal"/>
        <w:numPr>
          <w:ilvl w:val="1"/>
          <w:numId w:val="35"/>
        </w:numPr>
        <w:ind w:left="1434" w:hanging="357"/>
        <w:contextualSpacing/>
        <w:rPr>
          <w:color w:val="auto"/>
          <w:szCs w:val="24"/>
          <w:lang w:eastAsia="en-AU"/>
        </w:rPr>
      </w:pPr>
      <w:r>
        <w:rPr>
          <w:color w:val="auto"/>
          <w:szCs w:val="24"/>
          <w:lang w:eastAsia="en-AU"/>
        </w:rPr>
        <w:t>q</w:t>
      </w:r>
      <w:r w:rsidRPr="002A469C">
        <w:rPr>
          <w:color w:val="auto"/>
          <w:szCs w:val="24"/>
          <w:lang w:eastAsia="en-AU"/>
        </w:rPr>
        <w:t>uarterly reports provided to the Commission by the Commonwealth in compliance with the conditions of the Original Exemption</w:t>
      </w:r>
      <w:r>
        <w:rPr>
          <w:color w:val="auto"/>
          <w:szCs w:val="24"/>
          <w:lang w:eastAsia="en-AU"/>
        </w:rPr>
        <w:t>,</w:t>
      </w:r>
      <w:r w:rsidRPr="002A469C">
        <w:rPr>
          <w:color w:val="auto"/>
          <w:szCs w:val="24"/>
          <w:lang w:eastAsia="en-AU"/>
        </w:rPr>
        <w:t xml:space="preserve"> </w:t>
      </w:r>
    </w:p>
    <w:p w:rsidR="00E320AE" w:rsidRPr="002A469C" w:rsidRDefault="00E320AE" w:rsidP="00E320AE">
      <w:pPr>
        <w:pStyle w:val="SubmissionNormal"/>
        <w:numPr>
          <w:ilvl w:val="1"/>
          <w:numId w:val="35"/>
        </w:numPr>
        <w:ind w:left="1434" w:hanging="357"/>
        <w:contextualSpacing/>
        <w:rPr>
          <w:color w:val="auto"/>
          <w:szCs w:val="24"/>
          <w:lang w:eastAsia="en-AU"/>
        </w:rPr>
      </w:pPr>
      <w:r>
        <w:rPr>
          <w:color w:val="auto"/>
          <w:szCs w:val="24"/>
          <w:lang w:eastAsia="en-AU"/>
        </w:rPr>
        <w:t>r</w:t>
      </w:r>
      <w:r w:rsidRPr="002A469C">
        <w:rPr>
          <w:color w:val="auto"/>
          <w:szCs w:val="24"/>
          <w:lang w:eastAsia="en-AU"/>
        </w:rPr>
        <w:t xml:space="preserve">esponses to requests for further information from the </w:t>
      </w:r>
      <w:r>
        <w:rPr>
          <w:color w:val="auto"/>
          <w:szCs w:val="24"/>
          <w:lang w:eastAsia="en-AU"/>
        </w:rPr>
        <w:t>Commonwealth</w:t>
      </w:r>
      <w:r w:rsidRPr="002A469C">
        <w:rPr>
          <w:color w:val="auto"/>
          <w:szCs w:val="24"/>
          <w:lang w:eastAsia="en-AU"/>
        </w:rPr>
        <w:t xml:space="preserve"> in relation to the Application</w:t>
      </w:r>
      <w:r>
        <w:rPr>
          <w:color w:val="auto"/>
          <w:szCs w:val="24"/>
          <w:lang w:eastAsia="en-AU"/>
        </w:rPr>
        <w:t>,</w:t>
      </w:r>
      <w:r w:rsidRPr="002A469C">
        <w:rPr>
          <w:color w:val="auto"/>
          <w:szCs w:val="24"/>
          <w:lang w:eastAsia="en-AU"/>
        </w:rPr>
        <w:t xml:space="preserve"> </w:t>
      </w:r>
    </w:p>
    <w:p w:rsidR="00E320AE" w:rsidRPr="002A469C" w:rsidRDefault="00E320AE" w:rsidP="00E320AE">
      <w:pPr>
        <w:pStyle w:val="SubmissionNormal"/>
        <w:numPr>
          <w:ilvl w:val="1"/>
          <w:numId w:val="35"/>
        </w:numPr>
        <w:ind w:left="1434" w:hanging="357"/>
        <w:contextualSpacing/>
        <w:rPr>
          <w:color w:val="auto"/>
          <w:szCs w:val="24"/>
          <w:lang w:eastAsia="en-AU"/>
        </w:rPr>
      </w:pPr>
      <w:r>
        <w:rPr>
          <w:color w:val="auto"/>
          <w:szCs w:val="24"/>
          <w:lang w:eastAsia="en-AU"/>
        </w:rPr>
        <w:t>a</w:t>
      </w:r>
      <w:r w:rsidRPr="002A469C">
        <w:rPr>
          <w:color w:val="auto"/>
          <w:szCs w:val="24"/>
          <w:lang w:eastAsia="en-AU"/>
        </w:rPr>
        <w:t>ll documents relating to the Original Exemption application including:</w:t>
      </w:r>
    </w:p>
    <w:p w:rsidR="00E320AE" w:rsidRPr="002A469C" w:rsidRDefault="00E320AE" w:rsidP="00E320AE">
      <w:pPr>
        <w:pStyle w:val="SubmissionNormal"/>
        <w:numPr>
          <w:ilvl w:val="2"/>
          <w:numId w:val="35"/>
        </w:numPr>
        <w:ind w:hanging="181"/>
        <w:contextualSpacing/>
        <w:rPr>
          <w:color w:val="auto"/>
          <w:szCs w:val="24"/>
          <w:lang w:eastAsia="en-AU"/>
        </w:rPr>
      </w:pPr>
      <w:r>
        <w:rPr>
          <w:color w:val="auto"/>
          <w:szCs w:val="24"/>
          <w:lang w:eastAsia="en-AU"/>
        </w:rPr>
        <w:t>t</w:t>
      </w:r>
      <w:r w:rsidRPr="002A469C">
        <w:rPr>
          <w:color w:val="auto"/>
          <w:szCs w:val="24"/>
          <w:lang w:eastAsia="en-AU"/>
        </w:rPr>
        <w:t>he application for exemption</w:t>
      </w:r>
      <w:r>
        <w:rPr>
          <w:color w:val="auto"/>
          <w:szCs w:val="24"/>
          <w:lang w:eastAsia="en-AU"/>
        </w:rPr>
        <w:t>,</w:t>
      </w:r>
    </w:p>
    <w:p w:rsidR="00E320AE" w:rsidRPr="002A469C" w:rsidRDefault="00E320AE" w:rsidP="00E320AE">
      <w:pPr>
        <w:pStyle w:val="SubmissionNormal"/>
        <w:numPr>
          <w:ilvl w:val="2"/>
          <w:numId w:val="35"/>
        </w:numPr>
        <w:ind w:hanging="181"/>
        <w:contextualSpacing/>
        <w:rPr>
          <w:color w:val="auto"/>
          <w:szCs w:val="24"/>
          <w:lang w:eastAsia="en-AU"/>
        </w:rPr>
      </w:pPr>
      <w:r>
        <w:rPr>
          <w:color w:val="auto"/>
          <w:szCs w:val="24"/>
          <w:lang w:eastAsia="en-AU"/>
        </w:rPr>
        <w:t>t</w:t>
      </w:r>
      <w:r w:rsidRPr="002A469C">
        <w:rPr>
          <w:color w:val="auto"/>
          <w:szCs w:val="24"/>
          <w:lang w:eastAsia="en-AU"/>
        </w:rPr>
        <w:t>he submissions received by the Commission,</w:t>
      </w:r>
    </w:p>
    <w:p w:rsidR="00E320AE" w:rsidRPr="002A469C" w:rsidRDefault="00E320AE" w:rsidP="00E320AE">
      <w:pPr>
        <w:pStyle w:val="SubmissionNormal"/>
        <w:numPr>
          <w:ilvl w:val="2"/>
          <w:numId w:val="35"/>
        </w:numPr>
        <w:ind w:hanging="181"/>
        <w:contextualSpacing/>
        <w:rPr>
          <w:color w:val="auto"/>
          <w:szCs w:val="24"/>
          <w:lang w:eastAsia="en-AU"/>
        </w:rPr>
      </w:pPr>
      <w:r>
        <w:rPr>
          <w:color w:val="auto"/>
          <w:szCs w:val="24"/>
          <w:lang w:eastAsia="en-AU"/>
        </w:rPr>
        <w:t>t</w:t>
      </w:r>
      <w:r w:rsidRPr="002A469C">
        <w:rPr>
          <w:color w:val="auto"/>
          <w:szCs w:val="24"/>
          <w:lang w:eastAsia="en-AU"/>
        </w:rPr>
        <w:t>he response to the Commission’s request for additional submissions,</w:t>
      </w:r>
    </w:p>
    <w:p w:rsidR="00E320AE" w:rsidRPr="002A469C" w:rsidRDefault="00E320AE" w:rsidP="00E320AE">
      <w:pPr>
        <w:pStyle w:val="SubmissionNormal"/>
        <w:numPr>
          <w:ilvl w:val="2"/>
          <w:numId w:val="35"/>
        </w:numPr>
        <w:ind w:hanging="181"/>
        <w:contextualSpacing/>
        <w:rPr>
          <w:color w:val="auto"/>
          <w:szCs w:val="24"/>
          <w:lang w:eastAsia="en-AU"/>
        </w:rPr>
      </w:pPr>
      <w:r w:rsidRPr="009B0888">
        <w:rPr>
          <w:i/>
          <w:color w:val="auto"/>
          <w:szCs w:val="24"/>
          <w:lang w:eastAsia="en-AU"/>
        </w:rPr>
        <w:lastRenderedPageBreak/>
        <w:t>Nojin v the Commonwealth</w:t>
      </w:r>
      <w:r>
        <w:rPr>
          <w:color w:val="auto"/>
          <w:szCs w:val="24"/>
          <w:lang w:eastAsia="en-AU"/>
        </w:rPr>
        <w:t xml:space="preserve"> </w:t>
      </w:r>
      <w:r w:rsidRPr="00C8111B">
        <w:t>[2012] FCAFC 192</w:t>
      </w:r>
      <w:r>
        <w:t>,</w:t>
      </w:r>
    </w:p>
    <w:p w:rsidR="00E320AE" w:rsidRPr="002A469C" w:rsidRDefault="00E320AE" w:rsidP="00E320AE">
      <w:pPr>
        <w:pStyle w:val="SubmissionNormal"/>
        <w:numPr>
          <w:ilvl w:val="2"/>
          <w:numId w:val="35"/>
        </w:numPr>
        <w:ind w:hanging="181"/>
        <w:contextualSpacing/>
        <w:rPr>
          <w:color w:val="auto"/>
          <w:szCs w:val="24"/>
          <w:lang w:eastAsia="en-AU"/>
        </w:rPr>
      </w:pPr>
      <w:bookmarkStart w:id="1" w:name="OLE_LINK2"/>
      <w:r w:rsidRPr="009B0888">
        <w:rPr>
          <w:i/>
          <w:color w:val="auto"/>
          <w:szCs w:val="24"/>
          <w:lang w:eastAsia="en-AU"/>
        </w:rPr>
        <w:t xml:space="preserve">Commonwealth Of Australia v Stawell Intertwine Services </w:t>
      </w:r>
      <w:bookmarkEnd w:id="1"/>
      <w:r w:rsidRPr="009B0888">
        <w:rPr>
          <w:i/>
          <w:color w:val="auto"/>
          <w:szCs w:val="24"/>
          <w:lang w:eastAsia="en-AU"/>
        </w:rPr>
        <w:t>Inc And Gordon Prior and Commonwealth Of Australia v Elizabeth Nojin On Behalf Of Michael Nojin Coffs Harbour Challenge Inc</w:t>
      </w:r>
      <w:r w:rsidRPr="002A469C">
        <w:rPr>
          <w:color w:val="auto"/>
          <w:szCs w:val="24"/>
          <w:lang w:eastAsia="en-AU"/>
        </w:rPr>
        <w:t xml:space="preserve"> [2013]  HCATrans 157 (High Court of Australia, Crennan, Kiefel and, Keane JJ, 10.05.2013),</w:t>
      </w:r>
    </w:p>
    <w:p w:rsidR="00E320AE" w:rsidRPr="002A469C" w:rsidRDefault="00E320AE" w:rsidP="00E320AE">
      <w:pPr>
        <w:pStyle w:val="SubmissionNormal"/>
        <w:numPr>
          <w:ilvl w:val="2"/>
          <w:numId w:val="35"/>
        </w:numPr>
        <w:ind w:hanging="181"/>
        <w:contextualSpacing/>
        <w:rPr>
          <w:color w:val="auto"/>
          <w:szCs w:val="24"/>
          <w:lang w:eastAsia="en-AU"/>
        </w:rPr>
      </w:pPr>
      <w:r>
        <w:rPr>
          <w:color w:val="auto"/>
          <w:szCs w:val="24"/>
          <w:lang w:eastAsia="en-AU"/>
        </w:rPr>
        <w:t>t</w:t>
      </w:r>
      <w:r w:rsidRPr="002A469C">
        <w:rPr>
          <w:color w:val="auto"/>
          <w:szCs w:val="24"/>
          <w:lang w:eastAsia="en-AU"/>
        </w:rPr>
        <w:t>he Supported Employment Services Award 2010,</w:t>
      </w:r>
    </w:p>
    <w:p w:rsidR="00E320AE" w:rsidRPr="002A469C" w:rsidRDefault="00E320AE" w:rsidP="00E320AE">
      <w:pPr>
        <w:pStyle w:val="SubmissionNormal"/>
        <w:numPr>
          <w:ilvl w:val="2"/>
          <w:numId w:val="35"/>
        </w:numPr>
        <w:ind w:hanging="181"/>
        <w:contextualSpacing/>
        <w:rPr>
          <w:color w:val="auto"/>
          <w:szCs w:val="24"/>
          <w:lang w:eastAsia="en-AU"/>
        </w:rPr>
      </w:pPr>
      <w:r>
        <w:rPr>
          <w:color w:val="auto"/>
          <w:szCs w:val="24"/>
          <w:lang w:eastAsia="en-AU"/>
        </w:rPr>
        <w:t>t</w:t>
      </w:r>
      <w:r w:rsidRPr="002A469C">
        <w:rPr>
          <w:color w:val="auto"/>
          <w:szCs w:val="24"/>
          <w:lang w:eastAsia="en-AU"/>
        </w:rPr>
        <w:t>he Disability Discrimination Act 1992 as it stood at the date of the Nojin decision and at the date of the application,</w:t>
      </w:r>
    </w:p>
    <w:p w:rsidR="00E320AE" w:rsidRPr="002A469C" w:rsidRDefault="00E320AE" w:rsidP="00E320AE">
      <w:pPr>
        <w:pStyle w:val="SubmissionNormal"/>
        <w:numPr>
          <w:ilvl w:val="2"/>
          <w:numId w:val="35"/>
        </w:numPr>
        <w:ind w:hanging="181"/>
        <w:contextualSpacing/>
        <w:rPr>
          <w:color w:val="auto"/>
          <w:szCs w:val="24"/>
          <w:lang w:eastAsia="en-AU"/>
        </w:rPr>
      </w:pPr>
      <w:r>
        <w:rPr>
          <w:color w:val="auto"/>
          <w:szCs w:val="24"/>
          <w:lang w:eastAsia="en-AU"/>
        </w:rPr>
        <w:t>t</w:t>
      </w:r>
      <w:r w:rsidRPr="002A469C">
        <w:rPr>
          <w:color w:val="auto"/>
          <w:szCs w:val="24"/>
          <w:lang w:eastAsia="en-AU"/>
        </w:rPr>
        <w:t>he Commission’s Guidelines on Temporary Exemptions under the Disability Discrimination Act,</w:t>
      </w:r>
    </w:p>
    <w:p w:rsidR="00E320AE" w:rsidRPr="002A469C" w:rsidRDefault="00E320AE" w:rsidP="00E320AE">
      <w:pPr>
        <w:pStyle w:val="SubmissionNormal"/>
        <w:numPr>
          <w:ilvl w:val="2"/>
          <w:numId w:val="35"/>
        </w:numPr>
        <w:ind w:hanging="181"/>
        <w:contextualSpacing/>
        <w:rPr>
          <w:color w:val="auto"/>
          <w:szCs w:val="24"/>
          <w:lang w:eastAsia="en-AU"/>
        </w:rPr>
      </w:pPr>
      <w:r w:rsidRPr="002A469C">
        <w:rPr>
          <w:color w:val="auto"/>
          <w:szCs w:val="24"/>
          <w:lang w:eastAsia="en-AU"/>
        </w:rPr>
        <w:t>Concluding Observations of the Committee on the Rights of Persons with Disabilities: Australia</w:t>
      </w:r>
      <w:r>
        <w:rPr>
          <w:color w:val="auto"/>
          <w:szCs w:val="24"/>
          <w:lang w:eastAsia="en-AU"/>
        </w:rPr>
        <w:t xml:space="preserve"> 2013</w:t>
      </w:r>
      <w:r w:rsidRPr="002A469C">
        <w:rPr>
          <w:color w:val="auto"/>
          <w:szCs w:val="24"/>
          <w:lang w:eastAsia="en-AU"/>
        </w:rPr>
        <w:t>,</w:t>
      </w:r>
    </w:p>
    <w:p w:rsidR="00E320AE" w:rsidRPr="002A469C" w:rsidRDefault="00E320AE" w:rsidP="00E320AE">
      <w:pPr>
        <w:pStyle w:val="SubmissionNormal"/>
        <w:numPr>
          <w:ilvl w:val="2"/>
          <w:numId w:val="35"/>
        </w:numPr>
        <w:ind w:hanging="181"/>
        <w:contextualSpacing/>
        <w:rPr>
          <w:color w:val="auto"/>
          <w:szCs w:val="24"/>
          <w:lang w:eastAsia="en-AU"/>
        </w:rPr>
      </w:pPr>
      <w:r w:rsidRPr="009B0888">
        <w:rPr>
          <w:i/>
          <w:color w:val="auto"/>
          <w:szCs w:val="24"/>
          <w:lang w:eastAsia="en-AU"/>
        </w:rPr>
        <w:t>Clarke v Catholic Education Office</w:t>
      </w:r>
      <w:r w:rsidRPr="002A469C">
        <w:rPr>
          <w:color w:val="auto"/>
          <w:szCs w:val="24"/>
          <w:lang w:eastAsia="en-AU"/>
        </w:rPr>
        <w:t xml:space="preserve"> (2003) 202 ALR 340,</w:t>
      </w:r>
    </w:p>
    <w:p w:rsidR="00E320AE" w:rsidRPr="002A469C" w:rsidRDefault="00E320AE" w:rsidP="00E320AE">
      <w:pPr>
        <w:pStyle w:val="SubmissionNormal"/>
        <w:numPr>
          <w:ilvl w:val="2"/>
          <w:numId w:val="35"/>
        </w:numPr>
        <w:ind w:hanging="181"/>
        <w:contextualSpacing/>
        <w:rPr>
          <w:color w:val="auto"/>
          <w:szCs w:val="24"/>
          <w:lang w:eastAsia="en-AU"/>
        </w:rPr>
      </w:pPr>
      <w:r w:rsidRPr="009B0888">
        <w:rPr>
          <w:i/>
          <w:color w:val="auto"/>
          <w:szCs w:val="24"/>
          <w:lang w:eastAsia="en-AU"/>
        </w:rPr>
        <w:t>Catholic Education Office v Clarke</w:t>
      </w:r>
      <w:r w:rsidRPr="002A469C">
        <w:rPr>
          <w:color w:val="auto"/>
          <w:szCs w:val="24"/>
          <w:lang w:eastAsia="en-AU"/>
        </w:rPr>
        <w:t xml:space="preserve"> (2004) 138 FCR 121,</w:t>
      </w:r>
    </w:p>
    <w:p w:rsidR="00E320AE" w:rsidRPr="002A469C" w:rsidRDefault="00E320AE" w:rsidP="00E320AE">
      <w:pPr>
        <w:pStyle w:val="SubmissionNormal"/>
        <w:numPr>
          <w:ilvl w:val="2"/>
          <w:numId w:val="35"/>
        </w:numPr>
        <w:ind w:hanging="181"/>
        <w:contextualSpacing/>
        <w:rPr>
          <w:color w:val="auto"/>
          <w:szCs w:val="24"/>
          <w:lang w:eastAsia="en-AU"/>
        </w:rPr>
      </w:pPr>
      <w:r w:rsidRPr="009B0888">
        <w:rPr>
          <w:i/>
          <w:color w:val="auto"/>
          <w:szCs w:val="24"/>
          <w:lang w:eastAsia="en-AU"/>
        </w:rPr>
        <w:t>Hurst v Queensland</w:t>
      </w:r>
      <w:r w:rsidRPr="002A469C">
        <w:rPr>
          <w:color w:val="auto"/>
          <w:szCs w:val="24"/>
          <w:lang w:eastAsia="en-AU"/>
        </w:rPr>
        <w:t xml:space="preserve"> (2006) 151FCR 562,</w:t>
      </w:r>
    </w:p>
    <w:p w:rsidR="00E320AE" w:rsidRPr="002A469C" w:rsidRDefault="00E320AE" w:rsidP="00E320AE">
      <w:pPr>
        <w:pStyle w:val="SubmissionNormal"/>
        <w:numPr>
          <w:ilvl w:val="2"/>
          <w:numId w:val="35"/>
        </w:numPr>
        <w:ind w:hanging="181"/>
        <w:contextualSpacing/>
        <w:rPr>
          <w:color w:val="auto"/>
          <w:szCs w:val="24"/>
          <w:lang w:eastAsia="en-AU"/>
        </w:rPr>
      </w:pPr>
      <w:r w:rsidRPr="002A469C">
        <w:rPr>
          <w:color w:val="auto"/>
          <w:szCs w:val="24"/>
          <w:lang w:eastAsia="en-AU"/>
        </w:rPr>
        <w:t>Disability Services Standards (FaCSIA) 2007,</w:t>
      </w:r>
    </w:p>
    <w:p w:rsidR="00E320AE" w:rsidRPr="002A469C" w:rsidRDefault="00E320AE" w:rsidP="00E320AE">
      <w:pPr>
        <w:pStyle w:val="SubmissionNormal"/>
        <w:numPr>
          <w:ilvl w:val="2"/>
          <w:numId w:val="35"/>
        </w:numPr>
        <w:ind w:hanging="181"/>
        <w:contextualSpacing/>
        <w:rPr>
          <w:color w:val="auto"/>
          <w:szCs w:val="24"/>
          <w:lang w:eastAsia="en-AU"/>
        </w:rPr>
      </w:pPr>
      <w:r w:rsidRPr="002A469C">
        <w:rPr>
          <w:color w:val="auto"/>
          <w:szCs w:val="24"/>
          <w:lang w:eastAsia="en-AU"/>
        </w:rPr>
        <w:t>Guide to Good Practice Wage Determination,</w:t>
      </w:r>
    </w:p>
    <w:p w:rsidR="00E320AE" w:rsidRPr="002A469C" w:rsidRDefault="00E320AE" w:rsidP="00E320AE">
      <w:pPr>
        <w:pStyle w:val="SubmissionNormal"/>
        <w:numPr>
          <w:ilvl w:val="2"/>
          <w:numId w:val="35"/>
        </w:numPr>
        <w:ind w:hanging="181"/>
        <w:contextualSpacing/>
        <w:rPr>
          <w:color w:val="auto"/>
          <w:szCs w:val="24"/>
          <w:lang w:eastAsia="en-AU"/>
        </w:rPr>
      </w:pPr>
      <w:r w:rsidRPr="002A469C">
        <w:rPr>
          <w:color w:val="auto"/>
          <w:szCs w:val="24"/>
          <w:lang w:eastAsia="en-AU"/>
        </w:rPr>
        <w:t>CRS Australia. Business Services Wage Assessment Tool report – sample,</w:t>
      </w:r>
    </w:p>
    <w:p w:rsidR="00E320AE" w:rsidRPr="002A469C" w:rsidRDefault="00E320AE" w:rsidP="00E320AE">
      <w:pPr>
        <w:pStyle w:val="SubmissionNormal"/>
        <w:numPr>
          <w:ilvl w:val="2"/>
          <w:numId w:val="35"/>
        </w:numPr>
        <w:ind w:hanging="181"/>
        <w:contextualSpacing/>
        <w:rPr>
          <w:color w:val="auto"/>
          <w:szCs w:val="24"/>
          <w:lang w:eastAsia="en-AU"/>
        </w:rPr>
      </w:pPr>
      <w:r w:rsidRPr="002A469C">
        <w:rPr>
          <w:color w:val="auto"/>
          <w:szCs w:val="24"/>
          <w:lang w:eastAsia="en-AU"/>
        </w:rPr>
        <w:t>CRS Australia. Business Services Wage Assessment Tool – Supervisor’s Wage Tool Assessment Guide,</w:t>
      </w:r>
    </w:p>
    <w:p w:rsidR="00E320AE" w:rsidRPr="002A469C" w:rsidRDefault="00E320AE" w:rsidP="00E320AE">
      <w:pPr>
        <w:pStyle w:val="SubmissionNormal"/>
        <w:numPr>
          <w:ilvl w:val="2"/>
          <w:numId w:val="35"/>
        </w:numPr>
        <w:ind w:hanging="181"/>
        <w:contextualSpacing/>
        <w:rPr>
          <w:color w:val="auto"/>
          <w:szCs w:val="24"/>
          <w:lang w:eastAsia="en-AU"/>
        </w:rPr>
      </w:pPr>
      <w:r w:rsidRPr="002A469C">
        <w:rPr>
          <w:color w:val="auto"/>
          <w:szCs w:val="24"/>
          <w:lang w:eastAsia="en-AU"/>
        </w:rPr>
        <w:t>CRS Australia. Business Services Wage Assessment Tool – Supervisor’s Assessment Workbook, and</w:t>
      </w:r>
    </w:p>
    <w:p w:rsidR="00E320AE" w:rsidRPr="002A469C" w:rsidRDefault="00E320AE" w:rsidP="00E320AE">
      <w:pPr>
        <w:pStyle w:val="SubmissionNormal"/>
        <w:numPr>
          <w:ilvl w:val="2"/>
          <w:numId w:val="35"/>
        </w:numPr>
        <w:ind w:hanging="181"/>
        <w:contextualSpacing/>
        <w:rPr>
          <w:color w:val="auto"/>
          <w:szCs w:val="24"/>
          <w:lang w:eastAsia="en-AU"/>
        </w:rPr>
      </w:pPr>
      <w:r w:rsidRPr="002A469C">
        <w:rPr>
          <w:color w:val="auto"/>
          <w:szCs w:val="24"/>
          <w:lang w:eastAsia="en-AU"/>
        </w:rPr>
        <w:t>CRS Australia. Business Services Wage Assessment Tool – Worker Information Guide.</w:t>
      </w:r>
    </w:p>
    <w:p w:rsidR="00E320AE" w:rsidRPr="002A469C" w:rsidRDefault="00E320AE" w:rsidP="00E320AE">
      <w:pPr>
        <w:pStyle w:val="SubmissionNormal"/>
        <w:numPr>
          <w:ilvl w:val="1"/>
          <w:numId w:val="35"/>
        </w:numPr>
        <w:ind w:left="1434" w:hanging="357"/>
        <w:contextualSpacing/>
        <w:rPr>
          <w:color w:val="auto"/>
          <w:szCs w:val="24"/>
          <w:lang w:eastAsia="en-AU"/>
        </w:rPr>
      </w:pPr>
      <w:r>
        <w:rPr>
          <w:color w:val="auto"/>
          <w:szCs w:val="24"/>
          <w:lang w:eastAsia="en-AU"/>
        </w:rPr>
        <w:t>d</w:t>
      </w:r>
      <w:r w:rsidRPr="002A469C">
        <w:rPr>
          <w:color w:val="auto"/>
          <w:szCs w:val="24"/>
          <w:lang w:eastAsia="en-AU"/>
        </w:rPr>
        <w:t>ocuments filed in the Fair Work Commission proceeding AM2013/30 as set out in the Respondent’s schedule of documents</w:t>
      </w:r>
      <w:r>
        <w:rPr>
          <w:color w:val="auto"/>
          <w:szCs w:val="24"/>
          <w:lang w:eastAsia="en-AU"/>
        </w:rPr>
        <w:t>,</w:t>
      </w:r>
    </w:p>
    <w:p w:rsidR="00E320AE" w:rsidRPr="002A469C" w:rsidRDefault="00E320AE" w:rsidP="00E320AE">
      <w:pPr>
        <w:pStyle w:val="SubmissionNormal"/>
        <w:numPr>
          <w:ilvl w:val="1"/>
          <w:numId w:val="35"/>
        </w:numPr>
        <w:ind w:left="1434" w:hanging="357"/>
        <w:contextualSpacing/>
        <w:rPr>
          <w:color w:val="auto"/>
          <w:szCs w:val="24"/>
          <w:lang w:eastAsia="en-AU"/>
        </w:rPr>
      </w:pPr>
      <w:r w:rsidRPr="002A469C">
        <w:rPr>
          <w:color w:val="auto"/>
          <w:szCs w:val="24"/>
          <w:lang w:eastAsia="en-AU"/>
        </w:rPr>
        <w:t xml:space="preserve">Orders of the Fair Work Commission proceeding AM2013/30. </w:t>
      </w:r>
    </w:p>
    <w:p w:rsidR="00E320AE" w:rsidRPr="002A469C" w:rsidRDefault="00E320AE" w:rsidP="00E320AE">
      <w:pPr>
        <w:pStyle w:val="SubmissionNormal"/>
        <w:numPr>
          <w:ilvl w:val="1"/>
          <w:numId w:val="35"/>
        </w:numPr>
        <w:ind w:left="1434" w:hanging="357"/>
        <w:contextualSpacing/>
        <w:rPr>
          <w:color w:val="auto"/>
          <w:szCs w:val="24"/>
          <w:lang w:eastAsia="en-AU"/>
        </w:rPr>
      </w:pPr>
      <w:r>
        <w:rPr>
          <w:color w:val="auto"/>
          <w:szCs w:val="24"/>
          <w:lang w:eastAsia="en-AU"/>
        </w:rPr>
        <w:t>d</w:t>
      </w:r>
      <w:r w:rsidRPr="002A469C">
        <w:rPr>
          <w:color w:val="auto"/>
          <w:szCs w:val="24"/>
          <w:lang w:eastAsia="en-AU"/>
        </w:rPr>
        <w:t>ocuments filed in the AAT proceeding 2014/2570 as set out in the Respondent’s schedule of documents</w:t>
      </w:r>
      <w:r>
        <w:rPr>
          <w:color w:val="auto"/>
          <w:szCs w:val="24"/>
          <w:lang w:eastAsia="en-AU"/>
        </w:rPr>
        <w:t>,</w:t>
      </w:r>
    </w:p>
    <w:p w:rsidR="00E320AE" w:rsidRPr="002A469C" w:rsidRDefault="00E320AE" w:rsidP="00E320AE">
      <w:pPr>
        <w:pStyle w:val="SubmissionNormal"/>
        <w:numPr>
          <w:ilvl w:val="1"/>
          <w:numId w:val="35"/>
        </w:numPr>
        <w:ind w:left="1434" w:hanging="357"/>
        <w:contextualSpacing/>
        <w:rPr>
          <w:color w:val="auto"/>
          <w:szCs w:val="24"/>
          <w:lang w:eastAsia="en-AU"/>
        </w:rPr>
      </w:pPr>
      <w:r>
        <w:rPr>
          <w:color w:val="auto"/>
          <w:szCs w:val="24"/>
          <w:lang w:eastAsia="en-AU"/>
        </w:rPr>
        <w:t>d</w:t>
      </w:r>
      <w:r w:rsidRPr="002A469C">
        <w:rPr>
          <w:color w:val="auto"/>
          <w:szCs w:val="24"/>
          <w:lang w:eastAsia="en-AU"/>
        </w:rPr>
        <w:t>ocuments filed in the AAT proceeding 2015/2158 as set out in the Respondent’s schedule of documents</w:t>
      </w:r>
      <w:r>
        <w:rPr>
          <w:color w:val="auto"/>
          <w:szCs w:val="24"/>
          <w:lang w:eastAsia="en-AU"/>
        </w:rPr>
        <w:t>, and</w:t>
      </w:r>
    </w:p>
    <w:p w:rsidR="00E320AE" w:rsidRPr="002A469C" w:rsidRDefault="00E320AE" w:rsidP="00E320AE">
      <w:pPr>
        <w:pStyle w:val="SubmissionNormal"/>
        <w:numPr>
          <w:ilvl w:val="1"/>
          <w:numId w:val="35"/>
        </w:numPr>
        <w:ind w:left="1434" w:hanging="357"/>
        <w:rPr>
          <w:color w:val="auto"/>
          <w:szCs w:val="24"/>
          <w:lang w:eastAsia="en-AU"/>
        </w:rPr>
      </w:pPr>
      <w:r>
        <w:rPr>
          <w:color w:val="auto"/>
          <w:szCs w:val="24"/>
          <w:lang w:eastAsia="en-AU"/>
        </w:rPr>
        <w:t>t</w:t>
      </w:r>
      <w:r w:rsidRPr="002A469C">
        <w:rPr>
          <w:color w:val="auto"/>
          <w:szCs w:val="24"/>
          <w:lang w:eastAsia="en-AU"/>
        </w:rPr>
        <w:t>he decision of the AAT in proceeding 2015/2158</w:t>
      </w:r>
      <w:r>
        <w:rPr>
          <w:color w:val="auto"/>
          <w:szCs w:val="24"/>
          <w:lang w:eastAsia="en-AU"/>
        </w:rPr>
        <w:t xml:space="preserve"> [2015] AATA 548</w:t>
      </w:r>
      <w:r w:rsidRPr="002A469C">
        <w:rPr>
          <w:color w:val="auto"/>
          <w:szCs w:val="24"/>
          <w:lang w:eastAsia="en-AU"/>
        </w:rPr>
        <w:t>.</w:t>
      </w:r>
    </w:p>
    <w:p w:rsidR="00E320AE" w:rsidRPr="00BC593B" w:rsidRDefault="00E320AE" w:rsidP="00E320AE">
      <w:pPr>
        <w:pStyle w:val="Heading1"/>
        <w:rPr>
          <w:lang w:eastAsia="en-AU"/>
        </w:rPr>
      </w:pPr>
      <w:r w:rsidRPr="00BC593B">
        <w:rPr>
          <w:lang w:eastAsia="en-AU"/>
        </w:rPr>
        <w:t xml:space="preserve">Relevant </w:t>
      </w:r>
      <w:r>
        <w:rPr>
          <w:lang w:eastAsia="en-AU"/>
        </w:rPr>
        <w:t>l</w:t>
      </w:r>
      <w:r w:rsidRPr="00BC593B">
        <w:rPr>
          <w:lang w:eastAsia="en-AU"/>
        </w:rPr>
        <w:t>aw</w:t>
      </w:r>
    </w:p>
    <w:p w:rsidR="00E320AE" w:rsidRPr="00BC593B" w:rsidRDefault="00E320AE" w:rsidP="00E320AE">
      <w:pPr>
        <w:pStyle w:val="Heading2"/>
        <w:rPr>
          <w:lang w:eastAsia="en-AU"/>
        </w:rPr>
      </w:pPr>
      <w:r w:rsidRPr="00BC593B">
        <w:rPr>
          <w:lang w:eastAsia="en-AU"/>
        </w:rPr>
        <w:t>Disability Discrimination Act 1992</w:t>
      </w:r>
    </w:p>
    <w:p w:rsidR="00E320AE" w:rsidRPr="00305A53" w:rsidRDefault="00E320AE" w:rsidP="00E320AE">
      <w:pPr>
        <w:pStyle w:val="SubmissionNormal"/>
        <w:numPr>
          <w:ilvl w:val="0"/>
          <w:numId w:val="35"/>
        </w:numPr>
        <w:ind w:left="1094" w:hanging="737"/>
      </w:pPr>
      <w:r w:rsidRPr="00305A53">
        <w:t>The Commission may grant exemptions from the provisions of Division 1 or 2 of the Disability Discrimination Act.</w:t>
      </w:r>
      <w:r w:rsidRPr="0008569A">
        <w:rPr>
          <w:vertAlign w:val="superscript"/>
        </w:rPr>
        <w:footnoteReference w:id="1"/>
      </w:r>
      <w:r w:rsidRPr="0008569A">
        <w:rPr>
          <w:vertAlign w:val="superscript"/>
        </w:rPr>
        <w:t xml:space="preserve"> </w:t>
      </w:r>
      <w:r w:rsidRPr="00305A53">
        <w:t>An exemption may be granted subject to terms and conditions</w:t>
      </w:r>
      <w:r>
        <w:t>,</w:t>
      </w:r>
      <w:r w:rsidRPr="00305A53">
        <w:t xml:space="preserve"> and may be expressed to apply only in particular </w:t>
      </w:r>
      <w:r w:rsidRPr="00BC593B">
        <w:rPr>
          <w:color w:val="auto"/>
          <w:szCs w:val="24"/>
          <w:lang w:eastAsia="en-AU"/>
        </w:rPr>
        <w:t>circumstances</w:t>
      </w:r>
      <w:r>
        <w:t>,</w:t>
      </w:r>
      <w:r w:rsidRPr="00305A53">
        <w:t xml:space="preserve"> or to particular activities.</w:t>
      </w:r>
      <w:r w:rsidRPr="0008569A">
        <w:rPr>
          <w:vertAlign w:val="superscript"/>
        </w:rPr>
        <w:footnoteReference w:id="2"/>
      </w:r>
      <w:r w:rsidRPr="0008569A">
        <w:rPr>
          <w:vertAlign w:val="superscript"/>
        </w:rPr>
        <w:t xml:space="preserve"> </w:t>
      </w:r>
      <w:r w:rsidRPr="00305A53">
        <w:t>Exemptions are to be granted for a specified period not exceeding five years.</w:t>
      </w:r>
      <w:r w:rsidRPr="0008569A">
        <w:rPr>
          <w:vertAlign w:val="superscript"/>
        </w:rPr>
        <w:footnoteReference w:id="3"/>
      </w:r>
      <w:r w:rsidRPr="00305A53">
        <w:t xml:space="preserve"> It is not unlawful </w:t>
      </w:r>
      <w:r w:rsidRPr="00305A53">
        <w:lastRenderedPageBreak/>
        <w:t>for a person who has been granted an exemption to act in accordance with the exemption.</w:t>
      </w:r>
      <w:r w:rsidRPr="0008569A">
        <w:rPr>
          <w:vertAlign w:val="superscript"/>
        </w:rPr>
        <w:footnoteReference w:id="4"/>
      </w:r>
    </w:p>
    <w:p w:rsidR="00E320AE" w:rsidRPr="00305A53" w:rsidRDefault="00E320AE" w:rsidP="00E320AE">
      <w:pPr>
        <w:pStyle w:val="SubmissionNormal"/>
        <w:numPr>
          <w:ilvl w:val="0"/>
          <w:numId w:val="35"/>
        </w:numPr>
        <w:ind w:left="1094" w:hanging="737"/>
      </w:pPr>
      <w:r w:rsidRPr="00305A53">
        <w:t>It is unlawful for an employer to discriminate against an employee on the ground of the employee’s disability</w:t>
      </w:r>
      <w:r>
        <w:t>,</w:t>
      </w:r>
      <w:r w:rsidRPr="00305A53">
        <w:t xml:space="preserve"> in the terms and conditions of employment that the </w:t>
      </w:r>
      <w:r w:rsidRPr="00BC593B">
        <w:rPr>
          <w:color w:val="auto"/>
          <w:szCs w:val="24"/>
          <w:lang w:eastAsia="en-AU"/>
        </w:rPr>
        <w:t>employer</w:t>
      </w:r>
      <w:r w:rsidRPr="00305A53">
        <w:t xml:space="preserve"> affords the employee.</w:t>
      </w:r>
      <w:r w:rsidRPr="0008569A">
        <w:rPr>
          <w:vertAlign w:val="superscript"/>
        </w:rPr>
        <w:footnoteReference w:id="5"/>
      </w:r>
      <w:r w:rsidRPr="0008569A">
        <w:rPr>
          <w:vertAlign w:val="superscript"/>
        </w:rPr>
        <w:t xml:space="preserve"> </w:t>
      </w:r>
      <w:r w:rsidRPr="00305A53">
        <w:t>It is also unlawful to discriminate on the ground of disability in the provision of good</w:t>
      </w:r>
      <w:r>
        <w:t>s</w:t>
      </w:r>
      <w:r w:rsidRPr="00305A53">
        <w:t xml:space="preserve"> and services</w:t>
      </w:r>
      <w:r w:rsidRPr="0008569A">
        <w:rPr>
          <w:vertAlign w:val="superscript"/>
        </w:rPr>
        <w:footnoteReference w:id="6"/>
      </w:r>
      <w:r w:rsidRPr="00305A53">
        <w:t xml:space="preserve"> and in the administration of Commonwealth laws and programs</w:t>
      </w:r>
      <w:r>
        <w:t>.</w:t>
      </w:r>
      <w:r w:rsidRPr="0008569A">
        <w:rPr>
          <w:vertAlign w:val="superscript"/>
        </w:rPr>
        <w:footnoteReference w:id="7"/>
      </w:r>
      <w:r w:rsidRPr="0008569A">
        <w:rPr>
          <w:vertAlign w:val="superscript"/>
        </w:rPr>
        <w:t xml:space="preserve"> </w:t>
      </w:r>
      <w:r w:rsidRPr="00305A53">
        <w:t xml:space="preserve">The relevant provisions are located in Divisions 1 and 2 of Part 2 of the Disability Discrimination Act. </w:t>
      </w:r>
    </w:p>
    <w:p w:rsidR="00E320AE" w:rsidRPr="004D1483" w:rsidRDefault="00E320AE" w:rsidP="00E320AE">
      <w:pPr>
        <w:pStyle w:val="Heading2"/>
        <w:rPr>
          <w:lang w:eastAsia="en-AU"/>
        </w:rPr>
      </w:pPr>
      <w:r w:rsidRPr="004D1483">
        <w:rPr>
          <w:lang w:eastAsia="en-AU"/>
        </w:rPr>
        <w:t>Technical aspects of the application</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A number of submissions have objected to the exemption on the basis that:</w:t>
      </w:r>
    </w:p>
    <w:p w:rsidR="00E320AE" w:rsidRPr="004D1483" w:rsidRDefault="00E320AE" w:rsidP="00E320AE">
      <w:pPr>
        <w:pStyle w:val="SubmissionNormal"/>
        <w:numPr>
          <w:ilvl w:val="1"/>
          <w:numId w:val="35"/>
        </w:numPr>
        <w:rPr>
          <w:color w:val="auto"/>
          <w:szCs w:val="24"/>
          <w:lang w:eastAsia="en-AU"/>
        </w:rPr>
      </w:pPr>
      <w:r>
        <w:rPr>
          <w:color w:val="auto"/>
          <w:szCs w:val="24"/>
          <w:lang w:eastAsia="en-AU"/>
        </w:rPr>
        <w:t>t</w:t>
      </w:r>
      <w:r w:rsidRPr="004D1483">
        <w:rPr>
          <w:color w:val="auto"/>
          <w:szCs w:val="24"/>
          <w:lang w:eastAsia="en-AU"/>
        </w:rPr>
        <w:t>he Commonwealth has no standing to seek the exemption on behalf of all ADEs</w:t>
      </w:r>
      <w:r>
        <w:rPr>
          <w:color w:val="auto"/>
          <w:szCs w:val="24"/>
          <w:lang w:eastAsia="en-AU"/>
        </w:rPr>
        <w:t>,</w:t>
      </w:r>
      <w:r w:rsidRPr="004D1483">
        <w:rPr>
          <w:color w:val="auto"/>
          <w:szCs w:val="24"/>
          <w:lang w:eastAsia="en-AU"/>
        </w:rPr>
        <w:t xml:space="preserve"> and</w:t>
      </w:r>
    </w:p>
    <w:p w:rsidR="00E320AE" w:rsidRPr="004D1483" w:rsidRDefault="00E320AE" w:rsidP="00E320AE">
      <w:pPr>
        <w:pStyle w:val="SubmissionNormal"/>
        <w:numPr>
          <w:ilvl w:val="1"/>
          <w:numId w:val="35"/>
        </w:numPr>
        <w:rPr>
          <w:color w:val="auto"/>
          <w:szCs w:val="24"/>
          <w:lang w:eastAsia="en-AU"/>
        </w:rPr>
      </w:pPr>
      <w:r>
        <w:rPr>
          <w:color w:val="auto"/>
          <w:szCs w:val="24"/>
          <w:lang w:eastAsia="en-AU"/>
        </w:rPr>
        <w:t>p</w:t>
      </w:r>
      <w:r w:rsidRPr="004D1483">
        <w:rPr>
          <w:color w:val="auto"/>
          <w:szCs w:val="24"/>
          <w:lang w:eastAsia="en-AU"/>
        </w:rPr>
        <w:t xml:space="preserve">ursuant to s 46PW(3) of the </w:t>
      </w:r>
      <w:r w:rsidRPr="00455612">
        <w:rPr>
          <w:i/>
          <w:color w:val="auto"/>
          <w:szCs w:val="24"/>
          <w:lang w:eastAsia="en-AU"/>
        </w:rPr>
        <w:t>Australian Human Rights Commission Act</w:t>
      </w:r>
      <w:r>
        <w:rPr>
          <w:i/>
          <w:color w:val="auto"/>
          <w:szCs w:val="24"/>
          <w:lang w:eastAsia="en-AU"/>
        </w:rPr>
        <w:t xml:space="preserve"> 1986 </w:t>
      </w:r>
      <w:r w:rsidRPr="00455612">
        <w:rPr>
          <w:color w:val="auto"/>
          <w:szCs w:val="24"/>
          <w:lang w:eastAsia="en-AU"/>
        </w:rPr>
        <w:t>(Cth)</w:t>
      </w:r>
      <w:r>
        <w:rPr>
          <w:color w:val="auto"/>
          <w:szCs w:val="24"/>
          <w:lang w:eastAsia="en-AU"/>
        </w:rPr>
        <w:t>(AHRC Act)</w:t>
      </w:r>
      <w:r w:rsidRPr="00455612">
        <w:rPr>
          <w:color w:val="auto"/>
          <w:szCs w:val="24"/>
          <w:lang w:eastAsia="en-AU"/>
        </w:rPr>
        <w:t xml:space="preserve">, </w:t>
      </w:r>
      <w:r w:rsidRPr="004D1483">
        <w:rPr>
          <w:color w:val="auto"/>
          <w:szCs w:val="24"/>
          <w:lang w:eastAsia="en-AU"/>
        </w:rPr>
        <w:t>the Commission should refer the matter to the Fair Work Commission.</w:t>
      </w:r>
    </w:p>
    <w:p w:rsidR="00E320AE" w:rsidRPr="004D1483" w:rsidRDefault="00E320AE" w:rsidP="00E320AE">
      <w:pPr>
        <w:pStyle w:val="Heading3"/>
        <w:rPr>
          <w:lang w:eastAsia="en-AU"/>
        </w:rPr>
      </w:pPr>
      <w:r w:rsidRPr="004D1483">
        <w:rPr>
          <w:lang w:eastAsia="en-AU"/>
        </w:rPr>
        <w:t>Standing</w:t>
      </w:r>
    </w:p>
    <w:p w:rsidR="00E320AE"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Pursuant to s 55</w:t>
      </w:r>
      <w:r>
        <w:rPr>
          <w:color w:val="auto"/>
          <w:szCs w:val="24"/>
          <w:lang w:eastAsia="en-AU"/>
        </w:rPr>
        <w:t>(1)(b)</w:t>
      </w:r>
      <w:r w:rsidRPr="004D1483">
        <w:rPr>
          <w:color w:val="auto"/>
          <w:szCs w:val="24"/>
          <w:lang w:eastAsia="en-AU"/>
        </w:rPr>
        <w:t xml:space="preserve"> of the</w:t>
      </w:r>
      <w:r>
        <w:rPr>
          <w:color w:val="auto"/>
          <w:szCs w:val="24"/>
          <w:lang w:eastAsia="en-AU"/>
        </w:rPr>
        <w:t xml:space="preserve"> Disability Discrimination Act the Commission may grant an exemption on application by:</w:t>
      </w:r>
    </w:p>
    <w:p w:rsidR="00E320AE" w:rsidRPr="003D227B" w:rsidRDefault="00E320AE" w:rsidP="00E320AE">
      <w:pPr>
        <w:spacing w:before="100" w:beforeAutospacing="1" w:after="100" w:afterAutospacing="1"/>
        <w:ind w:left="1094"/>
        <w:rPr>
          <w:rFonts w:cs="Arial"/>
          <w:color w:val="auto"/>
          <w:sz w:val="22"/>
          <w:szCs w:val="22"/>
          <w:lang w:eastAsia="en-AU"/>
        </w:rPr>
      </w:pPr>
      <w:r w:rsidRPr="003D227B">
        <w:rPr>
          <w:rFonts w:cs="Arial"/>
          <w:color w:val="auto"/>
          <w:sz w:val="22"/>
          <w:szCs w:val="22"/>
          <w:lang w:eastAsia="en-AU"/>
        </w:rPr>
        <w:t xml:space="preserve">(b)  2 or more persons: </w:t>
      </w:r>
    </w:p>
    <w:p w:rsidR="00E320AE" w:rsidRPr="003D227B" w:rsidRDefault="00E320AE" w:rsidP="00E320AE">
      <w:pPr>
        <w:spacing w:before="100" w:beforeAutospacing="1" w:after="100" w:afterAutospacing="1"/>
        <w:contextualSpacing/>
        <w:rPr>
          <w:rFonts w:cs="Arial"/>
          <w:color w:val="auto"/>
          <w:sz w:val="22"/>
          <w:szCs w:val="22"/>
          <w:lang w:eastAsia="en-AU"/>
        </w:rPr>
      </w:pPr>
      <w:r w:rsidRPr="003D227B">
        <w:rPr>
          <w:rFonts w:cs="Arial"/>
          <w:color w:val="auto"/>
          <w:sz w:val="22"/>
          <w:szCs w:val="22"/>
          <w:lang w:eastAsia="en-AU"/>
        </w:rPr>
        <w:t xml:space="preserve">                              (i)  on their own behalf; or </w:t>
      </w:r>
    </w:p>
    <w:p w:rsidR="00E320AE" w:rsidRPr="003D227B" w:rsidRDefault="00E320AE" w:rsidP="00E320AE">
      <w:pPr>
        <w:spacing w:before="100" w:beforeAutospacing="1" w:after="100" w:afterAutospacing="1"/>
        <w:contextualSpacing/>
        <w:rPr>
          <w:rFonts w:cs="Arial"/>
          <w:color w:val="auto"/>
          <w:sz w:val="22"/>
          <w:szCs w:val="22"/>
          <w:lang w:eastAsia="en-AU"/>
        </w:rPr>
      </w:pPr>
      <w:r w:rsidRPr="003D227B">
        <w:rPr>
          <w:rFonts w:cs="Arial"/>
          <w:color w:val="auto"/>
          <w:sz w:val="22"/>
          <w:szCs w:val="22"/>
          <w:lang w:eastAsia="en-AU"/>
        </w:rPr>
        <w:t xml:space="preserve">                             (ii)  on behalf of themselves and another person or other persons; or </w:t>
      </w:r>
    </w:p>
    <w:p w:rsidR="00E320AE" w:rsidRPr="003D227B" w:rsidRDefault="00E320AE" w:rsidP="00E320AE">
      <w:pPr>
        <w:spacing w:before="100" w:beforeAutospacing="1" w:after="100" w:afterAutospacing="1"/>
        <w:ind w:left="357"/>
        <w:rPr>
          <w:rFonts w:cs="Arial"/>
          <w:color w:val="auto"/>
          <w:sz w:val="22"/>
          <w:szCs w:val="22"/>
          <w:lang w:eastAsia="en-AU"/>
        </w:rPr>
      </w:pPr>
      <w:r>
        <w:rPr>
          <w:rFonts w:cs="Arial"/>
          <w:color w:val="auto"/>
          <w:sz w:val="22"/>
          <w:szCs w:val="22"/>
          <w:lang w:eastAsia="en-AU"/>
        </w:rPr>
        <w:t>                      </w:t>
      </w:r>
      <w:r w:rsidRPr="003D227B">
        <w:rPr>
          <w:rFonts w:cs="Arial"/>
          <w:color w:val="auto"/>
          <w:sz w:val="22"/>
          <w:szCs w:val="22"/>
          <w:lang w:eastAsia="en-AU"/>
        </w:rPr>
        <w:t xml:space="preserve"> (iii)  on behalf of another person or other persons; </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On </w:t>
      </w:r>
      <w:r>
        <w:rPr>
          <w:color w:val="auto"/>
          <w:szCs w:val="24"/>
          <w:lang w:eastAsia="en-AU"/>
        </w:rPr>
        <w:t>21 April</w:t>
      </w:r>
      <w:r w:rsidRPr="004D1483">
        <w:rPr>
          <w:color w:val="auto"/>
          <w:szCs w:val="24"/>
          <w:lang w:eastAsia="en-AU"/>
        </w:rPr>
        <w:t xml:space="preserve"> 2015 the </w:t>
      </w:r>
      <w:r>
        <w:rPr>
          <w:color w:val="auto"/>
          <w:szCs w:val="24"/>
          <w:lang w:eastAsia="en-AU"/>
        </w:rPr>
        <w:t>Commonwealth</w:t>
      </w:r>
      <w:r w:rsidRPr="004D1483">
        <w:rPr>
          <w:color w:val="auto"/>
          <w:szCs w:val="24"/>
          <w:lang w:eastAsia="en-AU"/>
        </w:rPr>
        <w:t xml:space="preserve"> </w:t>
      </w:r>
      <w:r>
        <w:rPr>
          <w:color w:val="auto"/>
          <w:szCs w:val="24"/>
          <w:lang w:eastAsia="en-AU"/>
        </w:rPr>
        <w:t>purported to make its Application for an exemption on behalf of all ADEs using BSWAT.</w:t>
      </w:r>
    </w:p>
    <w:p w:rsidR="00E320AE" w:rsidRDefault="00E320AE" w:rsidP="00E320AE">
      <w:pPr>
        <w:pStyle w:val="SubmissionNormal"/>
        <w:numPr>
          <w:ilvl w:val="0"/>
          <w:numId w:val="35"/>
        </w:numPr>
        <w:ind w:left="1094" w:hanging="737"/>
        <w:rPr>
          <w:color w:val="auto"/>
          <w:szCs w:val="24"/>
          <w:lang w:eastAsia="en-AU"/>
        </w:rPr>
      </w:pPr>
      <w:r w:rsidRPr="00604121">
        <w:rPr>
          <w:color w:val="auto"/>
          <w:szCs w:val="24"/>
          <w:lang w:eastAsia="en-AU"/>
        </w:rPr>
        <w:t xml:space="preserve">On 1 September 2015 the Commission </w:t>
      </w:r>
      <w:r>
        <w:rPr>
          <w:color w:val="auto"/>
          <w:szCs w:val="24"/>
          <w:lang w:eastAsia="en-AU"/>
        </w:rPr>
        <w:t>asked</w:t>
      </w:r>
      <w:r w:rsidRPr="00604121">
        <w:rPr>
          <w:color w:val="auto"/>
          <w:szCs w:val="24"/>
          <w:lang w:eastAsia="en-AU"/>
        </w:rPr>
        <w:t xml:space="preserve"> the </w:t>
      </w:r>
      <w:r>
        <w:rPr>
          <w:color w:val="auto"/>
          <w:szCs w:val="24"/>
          <w:lang w:eastAsia="en-AU"/>
        </w:rPr>
        <w:t>Commonwealth</w:t>
      </w:r>
      <w:r w:rsidRPr="00604121">
        <w:rPr>
          <w:color w:val="auto"/>
          <w:szCs w:val="24"/>
          <w:lang w:eastAsia="en-AU"/>
        </w:rPr>
        <w:t xml:space="preserve"> to ‘confirm the </w:t>
      </w:r>
      <w:r>
        <w:rPr>
          <w:color w:val="auto"/>
          <w:szCs w:val="24"/>
          <w:lang w:eastAsia="en-AU"/>
        </w:rPr>
        <w:t>Commonwealth</w:t>
      </w:r>
      <w:r w:rsidRPr="00604121">
        <w:rPr>
          <w:color w:val="auto"/>
          <w:szCs w:val="24"/>
          <w:lang w:eastAsia="en-AU"/>
        </w:rPr>
        <w:t xml:space="preserve"> is authorised to make the application on behalf of ADEs that are still using the BSWAT and are not members of the NDS’. </w:t>
      </w:r>
    </w:p>
    <w:p w:rsidR="00E320AE" w:rsidRDefault="00E320AE" w:rsidP="00E320AE">
      <w:pPr>
        <w:pStyle w:val="SubmissionNormal"/>
        <w:keepNext/>
        <w:numPr>
          <w:ilvl w:val="0"/>
          <w:numId w:val="35"/>
        </w:numPr>
        <w:ind w:left="1094" w:hanging="737"/>
        <w:rPr>
          <w:color w:val="auto"/>
          <w:szCs w:val="24"/>
          <w:lang w:eastAsia="en-AU"/>
        </w:rPr>
      </w:pPr>
      <w:r w:rsidRPr="00604121">
        <w:rPr>
          <w:color w:val="auto"/>
          <w:szCs w:val="24"/>
          <w:lang w:eastAsia="en-AU"/>
        </w:rPr>
        <w:t>On</w:t>
      </w:r>
      <w:r>
        <w:rPr>
          <w:color w:val="auto"/>
          <w:szCs w:val="24"/>
          <w:lang w:eastAsia="en-AU"/>
        </w:rPr>
        <w:t xml:space="preserve"> </w:t>
      </w:r>
      <w:r w:rsidRPr="00604121">
        <w:rPr>
          <w:color w:val="auto"/>
          <w:szCs w:val="24"/>
          <w:lang w:eastAsia="en-AU"/>
        </w:rPr>
        <w:t xml:space="preserve">3 September 2015 the </w:t>
      </w:r>
      <w:r>
        <w:rPr>
          <w:color w:val="auto"/>
          <w:szCs w:val="24"/>
          <w:lang w:eastAsia="en-AU"/>
        </w:rPr>
        <w:t>Commonwealth</w:t>
      </w:r>
      <w:r w:rsidRPr="00604121">
        <w:rPr>
          <w:color w:val="auto"/>
          <w:szCs w:val="24"/>
          <w:lang w:eastAsia="en-AU"/>
        </w:rPr>
        <w:t xml:space="preserve"> </w:t>
      </w:r>
      <w:r>
        <w:rPr>
          <w:color w:val="auto"/>
          <w:szCs w:val="24"/>
          <w:lang w:eastAsia="en-AU"/>
        </w:rPr>
        <w:t>responded as follows:</w:t>
      </w:r>
    </w:p>
    <w:p w:rsidR="00E320AE" w:rsidRPr="00604121" w:rsidRDefault="00E320AE" w:rsidP="00E320AE">
      <w:pPr>
        <w:pStyle w:val="SubmissionNormal"/>
        <w:tabs>
          <w:tab w:val="clear" w:pos="720"/>
        </w:tabs>
        <w:ind w:left="1440"/>
        <w:rPr>
          <w:color w:val="auto"/>
          <w:sz w:val="22"/>
          <w:szCs w:val="22"/>
          <w:lang w:eastAsia="en-AU"/>
        </w:rPr>
      </w:pPr>
      <w:r w:rsidRPr="00604121">
        <w:rPr>
          <w:color w:val="auto"/>
          <w:sz w:val="22"/>
          <w:szCs w:val="22"/>
          <w:lang w:eastAsia="en-AU"/>
        </w:rPr>
        <w:t>The Secretary may make the application on behalf of the Commonwealth and Australian Disability Enterprises (ADEs).</w:t>
      </w:r>
    </w:p>
    <w:p w:rsidR="00E320AE" w:rsidRPr="00604121" w:rsidRDefault="00E320AE" w:rsidP="00E320AE">
      <w:pPr>
        <w:pStyle w:val="SubmissionNormal"/>
        <w:tabs>
          <w:tab w:val="clear" w:pos="720"/>
        </w:tabs>
        <w:ind w:left="1440"/>
        <w:rPr>
          <w:color w:val="auto"/>
          <w:sz w:val="22"/>
          <w:szCs w:val="22"/>
          <w:lang w:eastAsia="en-AU"/>
        </w:rPr>
      </w:pPr>
      <w:r w:rsidRPr="00604121">
        <w:rPr>
          <w:color w:val="auto"/>
          <w:sz w:val="22"/>
          <w:szCs w:val="22"/>
          <w:lang w:eastAsia="en-AU"/>
        </w:rPr>
        <w:lastRenderedPageBreak/>
        <w:t>The Department of Social Services has asked ADEs which were paying wages using the BSWAT on the date of the exemption application and which are not members of National Disability Services, to join the Commonwealth's application for a temporary exemption.</w:t>
      </w:r>
    </w:p>
    <w:p w:rsidR="00E320AE"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Shortly thereafter the Commission received requests from </w:t>
      </w:r>
      <w:r>
        <w:rPr>
          <w:color w:val="auto"/>
          <w:szCs w:val="24"/>
          <w:lang w:eastAsia="en-AU"/>
        </w:rPr>
        <w:t>two</w:t>
      </w:r>
      <w:r w:rsidRPr="004D1483">
        <w:rPr>
          <w:color w:val="auto"/>
          <w:szCs w:val="24"/>
          <w:lang w:eastAsia="en-AU"/>
        </w:rPr>
        <w:t xml:space="preserve"> ADEs to join the Application. </w:t>
      </w:r>
    </w:p>
    <w:p w:rsidR="00E320AE" w:rsidRPr="004D1483" w:rsidRDefault="00E320AE" w:rsidP="00E320AE">
      <w:pPr>
        <w:pStyle w:val="SubmissionNormal"/>
        <w:numPr>
          <w:ilvl w:val="0"/>
          <w:numId w:val="35"/>
        </w:numPr>
        <w:ind w:left="1094" w:hanging="737"/>
        <w:rPr>
          <w:color w:val="auto"/>
          <w:szCs w:val="24"/>
          <w:lang w:eastAsia="en-AU"/>
        </w:rPr>
      </w:pPr>
      <w:r>
        <w:rPr>
          <w:color w:val="auto"/>
          <w:szCs w:val="24"/>
          <w:lang w:eastAsia="en-AU"/>
        </w:rPr>
        <w:t xml:space="preserve">The Commonwealth has not provided evidence of its authorisation to make Application on behalf of all ADEs </w:t>
      </w:r>
      <w:r w:rsidRPr="00A943BC">
        <w:rPr>
          <w:color w:val="auto"/>
          <w:szCs w:val="24"/>
          <w:lang w:eastAsia="en-AU"/>
        </w:rPr>
        <w:t xml:space="preserve">using the </w:t>
      </w:r>
      <w:r>
        <w:rPr>
          <w:color w:val="auto"/>
          <w:szCs w:val="24"/>
          <w:lang w:eastAsia="en-AU"/>
        </w:rPr>
        <w:t>BSWAT</w:t>
      </w:r>
      <w:r w:rsidRPr="00A943BC">
        <w:rPr>
          <w:color w:val="auto"/>
          <w:szCs w:val="24"/>
          <w:lang w:eastAsia="en-AU"/>
        </w:rPr>
        <w:t>.</w:t>
      </w:r>
    </w:p>
    <w:p w:rsidR="00E320AE" w:rsidRDefault="00E320AE" w:rsidP="00E320AE">
      <w:pPr>
        <w:pStyle w:val="SubmissionNormal"/>
        <w:numPr>
          <w:ilvl w:val="0"/>
          <w:numId w:val="35"/>
        </w:numPr>
        <w:ind w:left="1094" w:hanging="737"/>
        <w:rPr>
          <w:color w:val="auto"/>
          <w:szCs w:val="24"/>
          <w:lang w:eastAsia="en-AU"/>
        </w:rPr>
      </w:pPr>
      <w:r w:rsidRPr="002A7C98">
        <w:rPr>
          <w:color w:val="auto"/>
          <w:szCs w:val="24"/>
          <w:lang w:eastAsia="en-AU"/>
        </w:rPr>
        <w:t xml:space="preserve">However, as indicated above, NDS sought and was joined as a party to the Application on the behalf of its members. The Commission is satisfied that </w:t>
      </w:r>
      <w:r>
        <w:rPr>
          <w:color w:val="auto"/>
          <w:szCs w:val="24"/>
          <w:lang w:eastAsia="en-AU"/>
        </w:rPr>
        <w:t>the NDS</w:t>
      </w:r>
      <w:r w:rsidRPr="002A7C98">
        <w:rPr>
          <w:color w:val="auto"/>
          <w:szCs w:val="24"/>
          <w:lang w:eastAsia="en-AU"/>
        </w:rPr>
        <w:t xml:space="preserve"> has authority to bring the Application on behalf of its members. In addition, Multitask Human Resource Foundation Ltd, and Vincent Industries Inc. have been joined as applicants. </w:t>
      </w:r>
    </w:p>
    <w:p w:rsidR="00E320AE" w:rsidRDefault="00E320AE" w:rsidP="00E320AE">
      <w:pPr>
        <w:pStyle w:val="SubmissionNormal"/>
        <w:numPr>
          <w:ilvl w:val="0"/>
          <w:numId w:val="35"/>
        </w:numPr>
        <w:ind w:left="1094" w:hanging="737"/>
        <w:rPr>
          <w:color w:val="auto"/>
          <w:szCs w:val="24"/>
          <w:lang w:eastAsia="en-AU"/>
        </w:rPr>
      </w:pPr>
      <w:r>
        <w:rPr>
          <w:color w:val="auto"/>
          <w:szCs w:val="24"/>
          <w:lang w:eastAsia="en-AU"/>
        </w:rPr>
        <w:t>Therefore, the Applicants for the exemption are:</w:t>
      </w:r>
    </w:p>
    <w:p w:rsidR="00E320AE" w:rsidRDefault="00E320AE" w:rsidP="00E320AE">
      <w:pPr>
        <w:pStyle w:val="SubmissionNormal"/>
        <w:numPr>
          <w:ilvl w:val="1"/>
          <w:numId w:val="35"/>
        </w:numPr>
        <w:rPr>
          <w:color w:val="auto"/>
          <w:szCs w:val="24"/>
          <w:lang w:eastAsia="en-AU"/>
        </w:rPr>
      </w:pPr>
      <w:r w:rsidRPr="004D1483">
        <w:rPr>
          <w:color w:val="auto"/>
          <w:szCs w:val="24"/>
          <w:lang w:eastAsia="en-AU"/>
        </w:rPr>
        <w:t>the Commonwealth</w:t>
      </w:r>
      <w:r>
        <w:rPr>
          <w:color w:val="auto"/>
          <w:szCs w:val="24"/>
          <w:lang w:eastAsia="en-AU"/>
        </w:rPr>
        <w:t xml:space="preserve"> on its own behalf,</w:t>
      </w:r>
    </w:p>
    <w:p w:rsidR="00E320AE" w:rsidRDefault="00E320AE" w:rsidP="00E320AE">
      <w:pPr>
        <w:pStyle w:val="SubmissionNormal"/>
        <w:numPr>
          <w:ilvl w:val="1"/>
          <w:numId w:val="35"/>
        </w:numPr>
        <w:rPr>
          <w:color w:val="auto"/>
          <w:szCs w:val="24"/>
          <w:lang w:eastAsia="en-AU"/>
        </w:rPr>
      </w:pPr>
      <w:r>
        <w:rPr>
          <w:color w:val="auto"/>
          <w:szCs w:val="24"/>
          <w:lang w:eastAsia="en-AU"/>
        </w:rPr>
        <w:t xml:space="preserve">the NDS on behalf of its members, </w:t>
      </w:r>
    </w:p>
    <w:p w:rsidR="00E320AE" w:rsidRDefault="00E320AE" w:rsidP="00E320AE">
      <w:pPr>
        <w:pStyle w:val="SubmissionNormal"/>
        <w:numPr>
          <w:ilvl w:val="1"/>
          <w:numId w:val="35"/>
        </w:numPr>
        <w:rPr>
          <w:color w:val="auto"/>
          <w:szCs w:val="24"/>
          <w:lang w:eastAsia="en-AU"/>
        </w:rPr>
      </w:pPr>
      <w:r w:rsidRPr="00F268A0">
        <w:rPr>
          <w:color w:val="auto"/>
          <w:szCs w:val="24"/>
          <w:lang w:eastAsia="en-AU"/>
        </w:rPr>
        <w:t>Multitas</w:t>
      </w:r>
      <w:r>
        <w:rPr>
          <w:color w:val="auto"/>
          <w:szCs w:val="24"/>
          <w:lang w:eastAsia="en-AU"/>
        </w:rPr>
        <w:t>k Human Resource Foundation Ltd, and</w:t>
      </w:r>
    </w:p>
    <w:p w:rsidR="00E320AE" w:rsidRPr="00951906" w:rsidRDefault="00E320AE" w:rsidP="00E320AE">
      <w:pPr>
        <w:pStyle w:val="SubmissionNormal"/>
        <w:numPr>
          <w:ilvl w:val="1"/>
          <w:numId w:val="35"/>
        </w:numPr>
        <w:rPr>
          <w:color w:val="auto"/>
          <w:szCs w:val="24"/>
          <w:lang w:eastAsia="en-AU"/>
        </w:rPr>
      </w:pPr>
      <w:r w:rsidRPr="00951906">
        <w:rPr>
          <w:color w:val="auto"/>
          <w:szCs w:val="24"/>
          <w:lang w:eastAsia="en-AU"/>
        </w:rPr>
        <w:t>Vincent Industries Inc.</w:t>
      </w:r>
    </w:p>
    <w:p w:rsidR="00E320AE" w:rsidRPr="004D1483" w:rsidRDefault="00E320AE" w:rsidP="00E320AE">
      <w:pPr>
        <w:pStyle w:val="Heading3"/>
        <w:rPr>
          <w:lang w:eastAsia="en-AU"/>
        </w:rPr>
      </w:pPr>
      <w:r w:rsidRPr="004D1483">
        <w:rPr>
          <w:lang w:eastAsia="en-AU"/>
        </w:rPr>
        <w:t xml:space="preserve">Referral to Fair Work </w:t>
      </w:r>
      <w:r>
        <w:rPr>
          <w:lang w:eastAsia="en-AU"/>
        </w:rPr>
        <w:t>Commission</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A number of submissions contend th</w:t>
      </w:r>
      <w:r>
        <w:rPr>
          <w:color w:val="auto"/>
          <w:szCs w:val="24"/>
          <w:lang w:eastAsia="en-AU"/>
        </w:rPr>
        <w:t xml:space="preserve">at due to the provisions of s </w:t>
      </w:r>
      <w:r w:rsidRPr="004D1483">
        <w:rPr>
          <w:color w:val="auto"/>
          <w:szCs w:val="24"/>
          <w:lang w:eastAsia="en-AU"/>
        </w:rPr>
        <w:t xml:space="preserve">46PW(3) of the </w:t>
      </w:r>
      <w:r>
        <w:rPr>
          <w:color w:val="auto"/>
          <w:szCs w:val="24"/>
          <w:lang w:eastAsia="en-AU"/>
        </w:rPr>
        <w:t>AHRC Act</w:t>
      </w:r>
      <w:r w:rsidRPr="004D1483">
        <w:rPr>
          <w:color w:val="auto"/>
          <w:szCs w:val="24"/>
          <w:lang w:eastAsia="en-AU"/>
        </w:rPr>
        <w:t xml:space="preserve"> ‘the matter’ should be referred to the Fair Work Commission.</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Part IIC of the </w:t>
      </w:r>
      <w:r>
        <w:rPr>
          <w:color w:val="auto"/>
          <w:szCs w:val="24"/>
          <w:lang w:eastAsia="en-AU"/>
        </w:rPr>
        <w:t>AHRC Act</w:t>
      </w:r>
      <w:r w:rsidRPr="004D1483">
        <w:rPr>
          <w:color w:val="auto"/>
          <w:szCs w:val="24"/>
          <w:lang w:eastAsia="en-AU"/>
        </w:rPr>
        <w:t xml:space="preserve"> provides for the referral of discriminatory awards and </w:t>
      </w:r>
      <w:r>
        <w:rPr>
          <w:color w:val="auto"/>
          <w:szCs w:val="24"/>
          <w:lang w:eastAsia="en-AU"/>
        </w:rPr>
        <w:t>industrial instruments</w:t>
      </w:r>
      <w:r w:rsidRPr="004D1483">
        <w:rPr>
          <w:color w:val="auto"/>
          <w:szCs w:val="24"/>
          <w:lang w:eastAsia="en-AU"/>
        </w:rPr>
        <w:t xml:space="preserve"> to </w:t>
      </w:r>
      <w:r>
        <w:rPr>
          <w:color w:val="auto"/>
          <w:szCs w:val="24"/>
          <w:lang w:eastAsia="en-AU"/>
        </w:rPr>
        <w:t>other bodies</w:t>
      </w:r>
      <w:r w:rsidRPr="004D1483">
        <w:rPr>
          <w:color w:val="auto"/>
          <w:szCs w:val="24"/>
          <w:lang w:eastAsia="en-AU"/>
        </w:rPr>
        <w:t>.</w:t>
      </w:r>
      <w:r>
        <w:rPr>
          <w:color w:val="auto"/>
          <w:szCs w:val="24"/>
          <w:lang w:eastAsia="en-AU"/>
        </w:rPr>
        <w:t xml:space="preserve"> Section 46PW relates specifically to the referral of industrial instruments to the Fair Work Commission.</w:t>
      </w:r>
    </w:p>
    <w:p w:rsidR="00E320AE" w:rsidRPr="004D1483" w:rsidRDefault="00E320AE" w:rsidP="00E320AE">
      <w:pPr>
        <w:pStyle w:val="SubmissionNormal"/>
        <w:numPr>
          <w:ilvl w:val="0"/>
          <w:numId w:val="35"/>
        </w:numPr>
        <w:ind w:left="1094" w:hanging="737"/>
        <w:rPr>
          <w:color w:val="auto"/>
          <w:szCs w:val="24"/>
          <w:lang w:eastAsia="en-AU"/>
        </w:rPr>
      </w:pPr>
      <w:r>
        <w:rPr>
          <w:color w:val="auto"/>
          <w:szCs w:val="24"/>
          <w:lang w:eastAsia="en-AU"/>
        </w:rPr>
        <w:t>Pursuant to s 46PW the following is required before the President must refer an industrial instrument to the Fair Work Commission</w:t>
      </w:r>
      <w:r w:rsidRPr="004D1483">
        <w:rPr>
          <w:color w:val="auto"/>
          <w:szCs w:val="24"/>
          <w:lang w:eastAsia="en-AU"/>
        </w:rPr>
        <w:t>:</w:t>
      </w:r>
    </w:p>
    <w:p w:rsidR="00E320AE" w:rsidRPr="00951906" w:rsidRDefault="00E320AE" w:rsidP="00E320AE">
      <w:pPr>
        <w:pStyle w:val="SubmissionNormal"/>
        <w:numPr>
          <w:ilvl w:val="1"/>
          <w:numId w:val="35"/>
        </w:numPr>
        <w:rPr>
          <w:color w:val="auto"/>
          <w:szCs w:val="24"/>
          <w:lang w:eastAsia="en-AU"/>
        </w:rPr>
      </w:pPr>
      <w:r w:rsidRPr="00951906">
        <w:rPr>
          <w:color w:val="auto"/>
          <w:szCs w:val="24"/>
          <w:lang w:eastAsia="en-AU"/>
        </w:rPr>
        <w:t>the making of a complaint, in writing, pursuant to s 46PW</w:t>
      </w:r>
      <w:r>
        <w:rPr>
          <w:color w:val="auto"/>
          <w:szCs w:val="24"/>
          <w:lang w:eastAsia="en-AU"/>
        </w:rPr>
        <w:t xml:space="preserve"> </w:t>
      </w:r>
      <w:r w:rsidRPr="00951906">
        <w:rPr>
          <w:color w:val="auto"/>
          <w:szCs w:val="24"/>
          <w:lang w:eastAsia="en-AU"/>
        </w:rPr>
        <w:t>alleging a person has done a discriminatory act</w:t>
      </w:r>
      <w:r>
        <w:rPr>
          <w:color w:val="auto"/>
          <w:szCs w:val="24"/>
          <w:lang w:eastAsia="en-AU"/>
        </w:rPr>
        <w:t xml:space="preserve"> under an industrial instrument</w:t>
      </w:r>
      <w:r w:rsidRPr="00951906">
        <w:rPr>
          <w:color w:val="auto"/>
          <w:szCs w:val="24"/>
          <w:lang w:eastAsia="en-AU"/>
        </w:rPr>
        <w:t>,</w:t>
      </w:r>
      <w:r>
        <w:rPr>
          <w:color w:val="auto"/>
          <w:szCs w:val="24"/>
          <w:lang w:eastAsia="en-AU"/>
        </w:rPr>
        <w:t xml:space="preserve"> and</w:t>
      </w:r>
    </w:p>
    <w:p w:rsidR="00E320AE" w:rsidRPr="00951906" w:rsidRDefault="00E320AE" w:rsidP="00E320AE">
      <w:pPr>
        <w:pStyle w:val="SubmissionNormal"/>
        <w:numPr>
          <w:ilvl w:val="1"/>
          <w:numId w:val="35"/>
        </w:numPr>
        <w:rPr>
          <w:color w:val="auto"/>
          <w:szCs w:val="24"/>
          <w:lang w:eastAsia="en-AU"/>
        </w:rPr>
      </w:pPr>
      <w:r w:rsidRPr="00951906">
        <w:rPr>
          <w:color w:val="auto"/>
          <w:szCs w:val="24"/>
          <w:lang w:eastAsia="en-AU"/>
        </w:rPr>
        <w:t>it appears to the President that the act would be unlawful under Part 2 of the Disability Discrimination Act but for the fact it was done in direct compliance with an industrial instrument.</w:t>
      </w:r>
    </w:p>
    <w:p w:rsidR="00E320AE" w:rsidRDefault="00E320AE" w:rsidP="00E320AE">
      <w:pPr>
        <w:pStyle w:val="SubmissionNormal"/>
        <w:numPr>
          <w:ilvl w:val="0"/>
          <w:numId w:val="35"/>
        </w:numPr>
        <w:ind w:left="1094" w:hanging="737"/>
        <w:rPr>
          <w:color w:val="auto"/>
          <w:szCs w:val="24"/>
          <w:lang w:eastAsia="en-AU"/>
        </w:rPr>
      </w:pPr>
      <w:r w:rsidRPr="00116299">
        <w:rPr>
          <w:color w:val="auto"/>
          <w:szCs w:val="24"/>
          <w:lang w:eastAsia="en-AU"/>
        </w:rPr>
        <w:t xml:space="preserve">The Application is for an exemption pursuant to s 55 of the </w:t>
      </w:r>
      <w:r>
        <w:rPr>
          <w:color w:val="auto"/>
          <w:szCs w:val="24"/>
          <w:lang w:eastAsia="en-AU"/>
        </w:rPr>
        <w:t>Disability Discrimination Act.</w:t>
      </w:r>
      <w:r w:rsidRPr="00116299">
        <w:rPr>
          <w:color w:val="auto"/>
          <w:szCs w:val="24"/>
          <w:lang w:eastAsia="en-AU"/>
        </w:rPr>
        <w:t xml:space="preserve"> It is not a ‘complaint’ within the meaning of </w:t>
      </w:r>
      <w:r>
        <w:rPr>
          <w:color w:val="auto"/>
          <w:szCs w:val="24"/>
          <w:lang w:eastAsia="en-AU"/>
        </w:rPr>
        <w:t>AHRC</w:t>
      </w:r>
      <w:r w:rsidRPr="00116299">
        <w:rPr>
          <w:color w:val="auto"/>
          <w:szCs w:val="24"/>
          <w:lang w:eastAsia="en-AU"/>
        </w:rPr>
        <w:t xml:space="preserve"> Act and in particular, s 46PW</w:t>
      </w:r>
      <w:r>
        <w:rPr>
          <w:color w:val="auto"/>
          <w:szCs w:val="24"/>
          <w:lang w:eastAsia="en-AU"/>
        </w:rPr>
        <w:t xml:space="preserve"> of the AHRC Act</w:t>
      </w:r>
      <w:r w:rsidRPr="00116299">
        <w:rPr>
          <w:color w:val="auto"/>
          <w:szCs w:val="24"/>
          <w:lang w:eastAsia="en-AU"/>
        </w:rPr>
        <w:t xml:space="preserve">. Section 46PW therefore does not apply and there is no obligation on the President of the Commission to refer ‘the matter’ to the Fair Work Commission. </w:t>
      </w:r>
    </w:p>
    <w:p w:rsidR="00E320AE" w:rsidRPr="00116299" w:rsidRDefault="00E320AE" w:rsidP="00E320AE">
      <w:pPr>
        <w:pStyle w:val="SubmissionNormal"/>
        <w:numPr>
          <w:ilvl w:val="0"/>
          <w:numId w:val="35"/>
        </w:numPr>
        <w:ind w:left="1094" w:hanging="737"/>
        <w:rPr>
          <w:color w:val="auto"/>
          <w:szCs w:val="24"/>
          <w:lang w:eastAsia="en-AU"/>
        </w:rPr>
      </w:pPr>
      <w:r>
        <w:rPr>
          <w:color w:val="auto"/>
          <w:szCs w:val="24"/>
          <w:lang w:eastAsia="en-AU"/>
        </w:rPr>
        <w:lastRenderedPageBreak/>
        <w:t>Once an application is made under s 55 of the Disability Discrimination Act the Commission must consider the application and either grant an exemption in appropriate terms or refuse the application. The fact that the subject matter of the exemption is also being considered by the Fair Work Commission does not absolve the Commission of this obligation.</w:t>
      </w:r>
    </w:p>
    <w:p w:rsidR="00E320AE" w:rsidRPr="004D1483" w:rsidRDefault="00E320AE" w:rsidP="00E320AE">
      <w:pPr>
        <w:pStyle w:val="Heading1"/>
        <w:rPr>
          <w:lang w:eastAsia="en-AU"/>
        </w:rPr>
      </w:pPr>
      <w:r w:rsidRPr="004D1483">
        <w:rPr>
          <w:lang w:eastAsia="en-AU"/>
        </w:rPr>
        <w:t>Necessity</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For an exemption to be necessary there must be at least an arguable case that the </w:t>
      </w:r>
      <w:r>
        <w:rPr>
          <w:color w:val="auto"/>
          <w:szCs w:val="24"/>
          <w:lang w:eastAsia="en-AU"/>
        </w:rPr>
        <w:t>conduct</w:t>
      </w:r>
      <w:r w:rsidRPr="004D1483">
        <w:rPr>
          <w:color w:val="auto"/>
          <w:szCs w:val="24"/>
          <w:lang w:eastAsia="en-AU"/>
        </w:rPr>
        <w:t xml:space="preserve"> that </w:t>
      </w:r>
      <w:r>
        <w:rPr>
          <w:color w:val="auto"/>
          <w:szCs w:val="24"/>
          <w:lang w:eastAsia="en-AU"/>
        </w:rPr>
        <w:t>is</w:t>
      </w:r>
      <w:r w:rsidRPr="004D1483">
        <w:rPr>
          <w:color w:val="auto"/>
          <w:szCs w:val="24"/>
          <w:lang w:eastAsia="en-AU"/>
        </w:rPr>
        <w:t xml:space="preserve"> the subjec</w:t>
      </w:r>
      <w:r>
        <w:rPr>
          <w:color w:val="auto"/>
          <w:szCs w:val="24"/>
          <w:lang w:eastAsia="en-AU"/>
        </w:rPr>
        <w:t xml:space="preserve">t of the application constitutes </w:t>
      </w:r>
      <w:r w:rsidRPr="004D1483">
        <w:rPr>
          <w:color w:val="auto"/>
          <w:szCs w:val="24"/>
          <w:lang w:eastAsia="en-AU"/>
        </w:rPr>
        <w:t>discrimination contrary to the Disability</w:t>
      </w:r>
      <w:r w:rsidRPr="004D1483" w:rsidDel="007E2A0A">
        <w:rPr>
          <w:color w:val="auto"/>
          <w:szCs w:val="24"/>
          <w:lang w:eastAsia="en-AU"/>
        </w:rPr>
        <w:t xml:space="preserve"> </w:t>
      </w:r>
      <w:r w:rsidRPr="004D1483">
        <w:rPr>
          <w:color w:val="auto"/>
          <w:szCs w:val="24"/>
          <w:lang w:eastAsia="en-AU"/>
        </w:rPr>
        <w:t xml:space="preserve">Discrimination Act. </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In considering if an exemption is necessary the Commission has considered matters including:</w:t>
      </w:r>
    </w:p>
    <w:p w:rsidR="00E320AE" w:rsidRPr="004D1483" w:rsidRDefault="00E320AE" w:rsidP="00E320AE">
      <w:pPr>
        <w:pStyle w:val="SubmissionNormal"/>
        <w:numPr>
          <w:ilvl w:val="1"/>
          <w:numId w:val="35"/>
        </w:numPr>
        <w:rPr>
          <w:color w:val="auto"/>
          <w:szCs w:val="24"/>
          <w:lang w:eastAsia="en-AU"/>
        </w:rPr>
      </w:pPr>
      <w:r w:rsidRPr="004D1483">
        <w:rPr>
          <w:color w:val="auto"/>
          <w:szCs w:val="24"/>
          <w:lang w:eastAsia="en-AU"/>
        </w:rPr>
        <w:t xml:space="preserve">Whether the </w:t>
      </w:r>
      <w:r>
        <w:rPr>
          <w:color w:val="auto"/>
          <w:szCs w:val="24"/>
          <w:lang w:eastAsia="en-AU"/>
        </w:rPr>
        <w:t>conduct is unlawful discrimination under</w:t>
      </w:r>
      <w:r w:rsidRPr="004D1483">
        <w:rPr>
          <w:color w:val="auto"/>
          <w:szCs w:val="24"/>
          <w:lang w:eastAsia="en-AU"/>
        </w:rPr>
        <w:t xml:space="preserve"> the Disability</w:t>
      </w:r>
      <w:r w:rsidRPr="004D1483" w:rsidDel="007E2A0A">
        <w:rPr>
          <w:color w:val="auto"/>
          <w:szCs w:val="24"/>
          <w:lang w:eastAsia="en-AU"/>
        </w:rPr>
        <w:t xml:space="preserve"> </w:t>
      </w:r>
      <w:r w:rsidRPr="004D1483">
        <w:rPr>
          <w:color w:val="auto"/>
          <w:szCs w:val="24"/>
          <w:lang w:eastAsia="en-AU"/>
        </w:rPr>
        <w:t>Discrimination Act;</w:t>
      </w:r>
    </w:p>
    <w:p w:rsidR="00E320AE" w:rsidRPr="004D1483" w:rsidRDefault="00E320AE" w:rsidP="00E320AE">
      <w:pPr>
        <w:pStyle w:val="SubmissionNormal"/>
        <w:numPr>
          <w:ilvl w:val="1"/>
          <w:numId w:val="35"/>
        </w:numPr>
        <w:rPr>
          <w:color w:val="auto"/>
          <w:szCs w:val="24"/>
          <w:lang w:eastAsia="en-AU"/>
        </w:rPr>
      </w:pPr>
      <w:r w:rsidRPr="004D1483">
        <w:rPr>
          <w:color w:val="auto"/>
          <w:szCs w:val="24"/>
          <w:lang w:eastAsia="en-AU"/>
        </w:rPr>
        <w:t>Whether any of the permanent exemptions to the Disability</w:t>
      </w:r>
      <w:r w:rsidRPr="004D1483" w:rsidDel="00A1630C">
        <w:rPr>
          <w:color w:val="auto"/>
          <w:szCs w:val="24"/>
          <w:lang w:eastAsia="en-AU"/>
        </w:rPr>
        <w:t xml:space="preserve"> </w:t>
      </w:r>
      <w:r w:rsidRPr="004D1483">
        <w:rPr>
          <w:color w:val="auto"/>
          <w:szCs w:val="24"/>
          <w:lang w:eastAsia="en-AU"/>
        </w:rPr>
        <w:t xml:space="preserve">Discrimination Act </w:t>
      </w:r>
      <w:r>
        <w:rPr>
          <w:color w:val="auto"/>
          <w:szCs w:val="24"/>
          <w:lang w:eastAsia="en-AU"/>
        </w:rPr>
        <w:t>apply.</w:t>
      </w:r>
    </w:p>
    <w:p w:rsidR="00E320AE" w:rsidRPr="004D1483" w:rsidRDefault="00E320AE" w:rsidP="00E320AE">
      <w:pPr>
        <w:pStyle w:val="Heading2"/>
        <w:rPr>
          <w:lang w:eastAsia="en-AU"/>
        </w:rPr>
      </w:pPr>
      <w:r w:rsidRPr="004D1483">
        <w:rPr>
          <w:lang w:eastAsia="en-AU"/>
        </w:rPr>
        <w:t>Unlawful discrimination</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In the Original Exemption decision the Commission found that</w:t>
      </w:r>
      <w:r>
        <w:rPr>
          <w:color w:val="auto"/>
          <w:szCs w:val="24"/>
          <w:lang w:eastAsia="en-AU"/>
        </w:rPr>
        <w:t>:</w:t>
      </w:r>
      <w:r w:rsidRPr="004D1483">
        <w:rPr>
          <w:color w:val="auto"/>
          <w:szCs w:val="24"/>
          <w:lang w:eastAsia="en-AU"/>
        </w:rPr>
        <w:t xml:space="preserve"> </w:t>
      </w:r>
    </w:p>
    <w:p w:rsidR="00E320AE" w:rsidRPr="00D479A0" w:rsidRDefault="00E320AE" w:rsidP="00E320AE">
      <w:pPr>
        <w:pStyle w:val="SubmissionNormal"/>
        <w:tabs>
          <w:tab w:val="clear" w:pos="720"/>
        </w:tabs>
        <w:ind w:left="1440"/>
        <w:rPr>
          <w:color w:val="auto"/>
          <w:sz w:val="22"/>
          <w:szCs w:val="22"/>
          <w:lang w:eastAsia="en-AU"/>
        </w:rPr>
      </w:pPr>
      <w:r w:rsidRPr="00D479A0">
        <w:rPr>
          <w:color w:val="auto"/>
          <w:sz w:val="22"/>
          <w:szCs w:val="22"/>
          <w:lang w:eastAsia="en-AU"/>
        </w:rPr>
        <w:t>in light of the comments and findings of the Full Court, in relation to the unreasonableness of the competency aspect of the BSWAT,</w:t>
      </w:r>
      <w:r w:rsidRPr="009B0888">
        <w:rPr>
          <w:color w:val="auto"/>
          <w:sz w:val="22"/>
          <w:szCs w:val="22"/>
          <w:vertAlign w:val="superscript"/>
          <w:lang w:eastAsia="en-AU"/>
        </w:rPr>
        <w:footnoteReference w:id="8"/>
      </w:r>
      <w:r w:rsidRPr="00D479A0">
        <w:rPr>
          <w:color w:val="auto"/>
          <w:sz w:val="22"/>
          <w:szCs w:val="22"/>
          <w:lang w:eastAsia="en-AU"/>
        </w:rPr>
        <w:t xml:space="preserve"> the Commission considers it is at least arguable that the use of the competency part of the BSWAT may discriminate against all </w:t>
      </w:r>
      <w:r>
        <w:rPr>
          <w:color w:val="auto"/>
          <w:sz w:val="22"/>
          <w:szCs w:val="22"/>
          <w:lang w:eastAsia="en-AU"/>
        </w:rPr>
        <w:t>supported employee</w:t>
      </w:r>
      <w:r w:rsidRPr="00D479A0">
        <w:rPr>
          <w:color w:val="auto"/>
          <w:sz w:val="22"/>
          <w:szCs w:val="22"/>
          <w:lang w:eastAsia="en-AU"/>
        </w:rPr>
        <w:t xml:space="preserve">s.  In these circumstances the Commission considers an exemption would be necessary to allow the ongoing use of the BSWAT for all </w:t>
      </w:r>
      <w:r>
        <w:rPr>
          <w:color w:val="auto"/>
          <w:sz w:val="22"/>
          <w:szCs w:val="22"/>
          <w:lang w:eastAsia="en-AU"/>
        </w:rPr>
        <w:t>supported employee</w:t>
      </w:r>
      <w:r w:rsidRPr="00D479A0">
        <w:rPr>
          <w:color w:val="auto"/>
          <w:sz w:val="22"/>
          <w:szCs w:val="22"/>
          <w:lang w:eastAsia="en-AU"/>
        </w:rPr>
        <w:t xml:space="preserve">s. </w:t>
      </w:r>
    </w:p>
    <w:p w:rsidR="00E320AE" w:rsidRPr="00116299" w:rsidRDefault="00E320AE" w:rsidP="00E320AE">
      <w:pPr>
        <w:pStyle w:val="SubmissionNormal"/>
        <w:numPr>
          <w:ilvl w:val="0"/>
          <w:numId w:val="35"/>
        </w:numPr>
        <w:ind w:left="1094" w:hanging="737"/>
        <w:rPr>
          <w:color w:val="auto"/>
          <w:szCs w:val="24"/>
          <w:lang w:eastAsia="en-AU"/>
        </w:rPr>
      </w:pPr>
      <w:r w:rsidRPr="00116299">
        <w:rPr>
          <w:color w:val="auto"/>
          <w:szCs w:val="24"/>
          <w:lang w:eastAsia="en-AU"/>
        </w:rPr>
        <w:t>The Commission remains of this view.</w:t>
      </w:r>
    </w:p>
    <w:p w:rsidR="00E320AE" w:rsidRPr="004D1483" w:rsidRDefault="00E320AE" w:rsidP="00E320AE">
      <w:pPr>
        <w:pStyle w:val="Heading2"/>
        <w:rPr>
          <w:lang w:eastAsia="en-AU"/>
        </w:rPr>
      </w:pPr>
      <w:r w:rsidRPr="004D1483">
        <w:rPr>
          <w:lang w:eastAsia="en-AU"/>
        </w:rPr>
        <w:t>Permanent exemptions</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Division 5 of the Disability Discrimination Act sets out a number of permanent exemptions, the effect of which is that discrimination covered by the</w:t>
      </w:r>
      <w:r>
        <w:rPr>
          <w:color w:val="auto"/>
          <w:szCs w:val="24"/>
          <w:lang w:eastAsia="en-AU"/>
        </w:rPr>
        <w:t>se permanent</w:t>
      </w:r>
      <w:r w:rsidRPr="004D1483">
        <w:rPr>
          <w:color w:val="auto"/>
          <w:szCs w:val="24"/>
          <w:lang w:eastAsia="en-AU"/>
        </w:rPr>
        <w:t xml:space="preserve"> exemption</w:t>
      </w:r>
      <w:r>
        <w:rPr>
          <w:color w:val="auto"/>
          <w:szCs w:val="24"/>
          <w:lang w:eastAsia="en-AU"/>
        </w:rPr>
        <w:t>s</w:t>
      </w:r>
      <w:r w:rsidRPr="004D1483">
        <w:rPr>
          <w:color w:val="auto"/>
          <w:szCs w:val="24"/>
          <w:lang w:eastAsia="en-AU"/>
        </w:rPr>
        <w:t xml:space="preserve"> will not be unlawful. </w:t>
      </w:r>
    </w:p>
    <w:p w:rsidR="00E320AE" w:rsidRDefault="00E320AE" w:rsidP="00E320AE">
      <w:pPr>
        <w:pStyle w:val="SubmissionNormal"/>
        <w:keepNext/>
        <w:numPr>
          <w:ilvl w:val="0"/>
          <w:numId w:val="35"/>
        </w:numPr>
        <w:ind w:left="1094" w:hanging="737"/>
        <w:rPr>
          <w:color w:val="auto"/>
          <w:szCs w:val="24"/>
          <w:lang w:eastAsia="en-AU"/>
        </w:rPr>
      </w:pPr>
      <w:r w:rsidRPr="004D1483">
        <w:rPr>
          <w:color w:val="auto"/>
          <w:szCs w:val="24"/>
          <w:lang w:eastAsia="en-AU"/>
        </w:rPr>
        <w:lastRenderedPageBreak/>
        <w:t>One such permanent exemption is for ‘acts done under statutory authority’.</w:t>
      </w:r>
      <w:r w:rsidRPr="00D479A0">
        <w:rPr>
          <w:color w:val="auto"/>
          <w:szCs w:val="24"/>
          <w:vertAlign w:val="superscript"/>
          <w:lang w:eastAsia="en-AU"/>
        </w:rPr>
        <w:footnoteReference w:id="9"/>
      </w:r>
      <w:r w:rsidRPr="004D1483">
        <w:rPr>
          <w:color w:val="auto"/>
          <w:szCs w:val="24"/>
          <w:lang w:eastAsia="en-AU"/>
        </w:rPr>
        <w:t xml:space="preserve"> </w:t>
      </w:r>
      <w:r>
        <w:rPr>
          <w:color w:val="auto"/>
          <w:szCs w:val="24"/>
          <w:lang w:eastAsia="en-AU"/>
        </w:rPr>
        <w:t xml:space="preserve">Section 47 of the </w:t>
      </w:r>
      <w:r w:rsidRPr="004D1483">
        <w:rPr>
          <w:color w:val="auto"/>
          <w:szCs w:val="24"/>
          <w:lang w:eastAsia="en-AU"/>
        </w:rPr>
        <w:t>Disability Discrimination Act</w:t>
      </w:r>
      <w:r>
        <w:rPr>
          <w:color w:val="auto"/>
          <w:szCs w:val="24"/>
          <w:lang w:eastAsia="en-AU"/>
        </w:rPr>
        <w:t xml:space="preserve"> relevantly provides:</w:t>
      </w:r>
    </w:p>
    <w:p w:rsidR="00E320AE" w:rsidRPr="00DD1FFC" w:rsidRDefault="00E320AE" w:rsidP="00E320AE">
      <w:pPr>
        <w:pStyle w:val="SubmissionNormal"/>
        <w:keepNext/>
        <w:keepLines/>
        <w:ind w:left="1843" w:hanging="436"/>
        <w:contextualSpacing/>
        <w:rPr>
          <w:color w:val="auto"/>
          <w:sz w:val="20"/>
          <w:lang w:eastAsia="en-AU"/>
        </w:rPr>
      </w:pPr>
      <w:r w:rsidRPr="00DD1FFC">
        <w:rPr>
          <w:color w:val="auto"/>
          <w:sz w:val="20"/>
          <w:lang w:eastAsia="en-AU"/>
        </w:rPr>
        <w:t xml:space="preserve">  (1)  This Part does not render unlawful anything done by a person in direct compliance with: </w:t>
      </w:r>
    </w:p>
    <w:p w:rsidR="00E320AE" w:rsidRPr="00DD1FFC" w:rsidRDefault="00E320AE" w:rsidP="00E320AE">
      <w:pPr>
        <w:pStyle w:val="SubmissionNormal"/>
        <w:keepNext/>
        <w:keepLines/>
        <w:ind w:left="1440"/>
        <w:contextualSpacing/>
        <w:rPr>
          <w:color w:val="auto"/>
          <w:sz w:val="20"/>
          <w:lang w:eastAsia="en-AU"/>
        </w:rPr>
      </w:pPr>
      <w:r>
        <w:rPr>
          <w:color w:val="auto"/>
          <w:sz w:val="20"/>
          <w:lang w:eastAsia="en-AU"/>
        </w:rPr>
        <w:t>…</w:t>
      </w:r>
    </w:p>
    <w:p w:rsidR="00E320AE" w:rsidRPr="00DD1FFC" w:rsidRDefault="00E320AE" w:rsidP="00E320AE">
      <w:pPr>
        <w:pStyle w:val="SubmissionNormal"/>
        <w:keepNext/>
        <w:keepLines/>
        <w:ind w:left="1440"/>
        <w:contextualSpacing/>
        <w:rPr>
          <w:color w:val="auto"/>
          <w:sz w:val="20"/>
          <w:lang w:eastAsia="en-AU"/>
        </w:rPr>
      </w:pPr>
      <w:r w:rsidRPr="00DD1FFC">
        <w:rPr>
          <w:color w:val="auto"/>
          <w:sz w:val="20"/>
          <w:lang w:eastAsia="en-AU"/>
        </w:rPr>
        <w:t xml:space="preserve">                     (c)  an instrument (an industrial instrument ) that is: </w:t>
      </w:r>
    </w:p>
    <w:p w:rsidR="00E320AE" w:rsidRPr="00DD1FFC" w:rsidRDefault="00E320AE" w:rsidP="00E320AE">
      <w:pPr>
        <w:pStyle w:val="SubmissionNormal"/>
        <w:keepNext/>
        <w:keepLines/>
        <w:tabs>
          <w:tab w:val="clear" w:pos="720"/>
        </w:tabs>
        <w:ind w:left="3686" w:hanging="1985"/>
        <w:rPr>
          <w:color w:val="auto"/>
          <w:sz w:val="20"/>
          <w:lang w:eastAsia="en-AU"/>
        </w:rPr>
      </w:pPr>
      <w:r w:rsidRPr="00DD1FFC">
        <w:rPr>
          <w:color w:val="auto"/>
          <w:sz w:val="20"/>
          <w:lang w:eastAsia="en-AU"/>
        </w:rPr>
        <w:t xml:space="preserve">                              (i)  a fair work instrument (within the meaning of the Fair Work Act 2009 );</w:t>
      </w:r>
    </w:p>
    <w:p w:rsidR="00E320AE"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The BSWAT was, and is relevantly, an ‘approved wage assessment tool’ under clause 14.4 of </w:t>
      </w:r>
      <w:r>
        <w:rPr>
          <w:color w:val="auto"/>
          <w:szCs w:val="24"/>
          <w:lang w:eastAsia="en-AU"/>
        </w:rPr>
        <w:t xml:space="preserve">the </w:t>
      </w:r>
      <w:r w:rsidRPr="004D1483">
        <w:rPr>
          <w:color w:val="auto"/>
          <w:szCs w:val="24"/>
          <w:lang w:eastAsia="en-AU"/>
        </w:rPr>
        <w:t>Award. The Award is a ‘fair work instrument’</w:t>
      </w:r>
      <w:r w:rsidRPr="009B0888">
        <w:rPr>
          <w:color w:val="auto"/>
          <w:szCs w:val="24"/>
          <w:vertAlign w:val="superscript"/>
          <w:lang w:eastAsia="en-AU"/>
        </w:rPr>
        <w:footnoteReference w:id="10"/>
      </w:r>
      <w:r w:rsidRPr="004D1483">
        <w:rPr>
          <w:color w:val="auto"/>
          <w:szCs w:val="24"/>
          <w:lang w:eastAsia="en-AU"/>
        </w:rPr>
        <w:t xml:space="preserve"> and therefore an industrial instrument within the meaning of s 47(1)(c)(i) of the Disability Discrimination Act. </w:t>
      </w:r>
    </w:p>
    <w:p w:rsidR="00E320AE" w:rsidRDefault="00E320AE" w:rsidP="00E320AE">
      <w:pPr>
        <w:pStyle w:val="SubmissionNormal"/>
        <w:numPr>
          <w:ilvl w:val="0"/>
          <w:numId w:val="35"/>
        </w:numPr>
        <w:ind w:left="1094" w:hanging="737"/>
        <w:rPr>
          <w:color w:val="auto"/>
          <w:szCs w:val="24"/>
          <w:lang w:eastAsia="en-AU"/>
        </w:rPr>
      </w:pPr>
      <w:r>
        <w:rPr>
          <w:color w:val="auto"/>
          <w:szCs w:val="24"/>
          <w:lang w:eastAsia="en-AU"/>
        </w:rPr>
        <w:t>There is however conflicting judicial authority about the scope of this exemption and whether the discriminatory act must be mandated by the industrial instrument for it to apply.</w:t>
      </w:r>
      <w:r>
        <w:rPr>
          <w:rStyle w:val="FootnoteReference"/>
          <w:color w:val="auto"/>
          <w:szCs w:val="24"/>
          <w:lang w:eastAsia="en-AU"/>
        </w:rPr>
        <w:footnoteReference w:id="11"/>
      </w:r>
      <w:r>
        <w:rPr>
          <w:color w:val="auto"/>
          <w:szCs w:val="24"/>
          <w:lang w:eastAsia="en-AU"/>
        </w:rPr>
        <w:t xml:space="preserve"> The use of the BSWAT tool is not mandated under the Award and it is therefore at least arguable that its use is not in direct compliance with the Award and that the permanent exemption does not apply. </w:t>
      </w:r>
    </w:p>
    <w:p w:rsidR="00E320AE" w:rsidRPr="004D1483" w:rsidRDefault="00E320AE" w:rsidP="00E320AE">
      <w:pPr>
        <w:pStyle w:val="Heading1"/>
        <w:rPr>
          <w:lang w:eastAsia="en-AU"/>
        </w:rPr>
      </w:pPr>
      <w:r w:rsidRPr="004D1483">
        <w:rPr>
          <w:lang w:eastAsia="en-AU"/>
        </w:rPr>
        <w:t>The objects of the Disability Discrimination Act</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The Commission has had regard to the objects of the Disability</w:t>
      </w:r>
      <w:r w:rsidRPr="004D1483" w:rsidDel="00EE6945">
        <w:rPr>
          <w:color w:val="auto"/>
          <w:szCs w:val="24"/>
          <w:lang w:eastAsia="en-AU"/>
        </w:rPr>
        <w:t xml:space="preserve"> </w:t>
      </w:r>
      <w:r w:rsidRPr="004D1483">
        <w:rPr>
          <w:color w:val="auto"/>
          <w:szCs w:val="24"/>
          <w:lang w:eastAsia="en-AU"/>
        </w:rPr>
        <w:t>Discrimination Act, set out in section 3. In broad terms, these objects are to:</w:t>
      </w:r>
    </w:p>
    <w:p w:rsidR="00E320AE" w:rsidRPr="004D1483" w:rsidRDefault="00E320AE" w:rsidP="00E320AE">
      <w:pPr>
        <w:pStyle w:val="SubmissionNormal"/>
        <w:numPr>
          <w:ilvl w:val="1"/>
          <w:numId w:val="35"/>
        </w:numPr>
        <w:rPr>
          <w:color w:val="auto"/>
          <w:szCs w:val="24"/>
          <w:lang w:eastAsia="en-AU"/>
        </w:rPr>
      </w:pPr>
      <w:r w:rsidRPr="004D1483">
        <w:rPr>
          <w:color w:val="auto"/>
          <w:szCs w:val="24"/>
          <w:lang w:eastAsia="en-AU"/>
        </w:rPr>
        <w:t>eliminate, as far as possible, discrimination against persons on the ground of disability</w:t>
      </w:r>
      <w:r w:rsidRPr="004D1483" w:rsidDel="00EE6945">
        <w:rPr>
          <w:color w:val="auto"/>
          <w:szCs w:val="24"/>
          <w:lang w:eastAsia="en-AU"/>
        </w:rPr>
        <w:t xml:space="preserve"> </w:t>
      </w:r>
      <w:r w:rsidRPr="004D1483">
        <w:rPr>
          <w:color w:val="auto"/>
          <w:szCs w:val="24"/>
          <w:lang w:eastAsia="en-AU"/>
        </w:rPr>
        <w:t xml:space="preserve">in a range of areas, including work; </w:t>
      </w:r>
    </w:p>
    <w:p w:rsidR="00E320AE" w:rsidRPr="004D1483" w:rsidRDefault="00E320AE" w:rsidP="00E320AE">
      <w:pPr>
        <w:pStyle w:val="SubmissionNormal"/>
        <w:numPr>
          <w:ilvl w:val="1"/>
          <w:numId w:val="35"/>
        </w:numPr>
        <w:rPr>
          <w:color w:val="auto"/>
          <w:szCs w:val="24"/>
          <w:lang w:eastAsia="en-AU"/>
        </w:rPr>
      </w:pPr>
      <w:r w:rsidRPr="004D1483">
        <w:rPr>
          <w:color w:val="auto"/>
          <w:szCs w:val="24"/>
          <w:lang w:eastAsia="en-AU"/>
        </w:rPr>
        <w:t xml:space="preserve">ensure, as far as practicable, that persons with disabilities have the same rights to equality before the law as the rest of the community; and </w:t>
      </w:r>
    </w:p>
    <w:p w:rsidR="00E320AE" w:rsidRPr="004D1483" w:rsidRDefault="00E320AE" w:rsidP="00E320AE">
      <w:pPr>
        <w:pStyle w:val="SubmissionNormal"/>
        <w:numPr>
          <w:ilvl w:val="1"/>
          <w:numId w:val="35"/>
        </w:numPr>
        <w:rPr>
          <w:color w:val="auto"/>
          <w:szCs w:val="24"/>
          <w:lang w:eastAsia="en-AU"/>
        </w:rPr>
      </w:pPr>
      <w:r w:rsidRPr="004D1483">
        <w:rPr>
          <w:color w:val="auto"/>
          <w:szCs w:val="24"/>
          <w:lang w:eastAsia="en-AU"/>
        </w:rPr>
        <w:t>promote recognition and acceptance within the community of the principle that persons with disabilities have the same fundamental rights as the rest of the community.</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Where an exemption is sought that would allow conduct that is inconsistent with, or would undermine the objects of the Disability</w:t>
      </w:r>
      <w:r w:rsidRPr="004D1483" w:rsidDel="00A1630C">
        <w:rPr>
          <w:color w:val="auto"/>
          <w:szCs w:val="24"/>
          <w:lang w:eastAsia="en-AU"/>
        </w:rPr>
        <w:t xml:space="preserve"> </w:t>
      </w:r>
      <w:r w:rsidRPr="004D1483">
        <w:rPr>
          <w:color w:val="auto"/>
          <w:szCs w:val="24"/>
          <w:lang w:eastAsia="en-AU"/>
        </w:rPr>
        <w:t xml:space="preserve">Discrimination Act, this weighs against the granting of an exemption. It does not of itself prevent the granting of an exemption. The very nature of an exemption is to allow conduct that is, or is likely to be, unlawful discrimination. The test in deciding if that conduct should be allowed to occur, is whether in all the circumstances it is reasonable to allow it to occur for a </w:t>
      </w:r>
      <w:r>
        <w:rPr>
          <w:color w:val="auto"/>
          <w:szCs w:val="24"/>
          <w:lang w:eastAsia="en-AU"/>
        </w:rPr>
        <w:t>defined</w:t>
      </w:r>
      <w:r w:rsidRPr="004D1483">
        <w:rPr>
          <w:color w:val="auto"/>
          <w:szCs w:val="24"/>
          <w:lang w:eastAsia="en-AU"/>
        </w:rPr>
        <w:t xml:space="preserve"> period. </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lastRenderedPageBreak/>
        <w:t>In considering this issue, the Commission has regard to:</w:t>
      </w:r>
    </w:p>
    <w:p w:rsidR="00E320AE" w:rsidRPr="004D1483" w:rsidRDefault="00E320AE" w:rsidP="00E320AE">
      <w:pPr>
        <w:pStyle w:val="SubmissionNormal"/>
        <w:numPr>
          <w:ilvl w:val="1"/>
          <w:numId w:val="35"/>
        </w:numPr>
        <w:rPr>
          <w:color w:val="auto"/>
          <w:szCs w:val="24"/>
          <w:lang w:eastAsia="en-AU"/>
        </w:rPr>
      </w:pPr>
      <w:r w:rsidRPr="004D1483">
        <w:rPr>
          <w:color w:val="auto"/>
          <w:szCs w:val="24"/>
          <w:lang w:eastAsia="en-AU"/>
        </w:rPr>
        <w:t xml:space="preserve">The reasonableness of the exemption sought – the Commission will weigh up the nature and extent of the discriminatory effect against the reasons advanced in favour of an exemption; </w:t>
      </w:r>
    </w:p>
    <w:p w:rsidR="00E320AE" w:rsidRPr="004D1483" w:rsidRDefault="00E320AE" w:rsidP="00E320AE">
      <w:pPr>
        <w:pStyle w:val="SubmissionNormal"/>
        <w:numPr>
          <w:ilvl w:val="1"/>
          <w:numId w:val="35"/>
        </w:numPr>
        <w:rPr>
          <w:color w:val="auto"/>
          <w:szCs w:val="24"/>
          <w:lang w:eastAsia="en-AU"/>
        </w:rPr>
      </w:pPr>
      <w:r w:rsidRPr="004D1483">
        <w:rPr>
          <w:color w:val="auto"/>
          <w:szCs w:val="24"/>
          <w:lang w:eastAsia="en-AU"/>
        </w:rPr>
        <w:t>Whether an exemption could be granted subject to terms and conditions which further the objects of the Disability</w:t>
      </w:r>
      <w:r w:rsidRPr="004D1483" w:rsidDel="00763FB3">
        <w:rPr>
          <w:color w:val="auto"/>
          <w:szCs w:val="24"/>
          <w:lang w:eastAsia="en-AU"/>
        </w:rPr>
        <w:t xml:space="preserve"> </w:t>
      </w:r>
      <w:r w:rsidRPr="004D1483">
        <w:rPr>
          <w:color w:val="auto"/>
          <w:szCs w:val="24"/>
          <w:lang w:eastAsia="en-AU"/>
        </w:rPr>
        <w:t>Discrimination Act (see below).</w:t>
      </w:r>
    </w:p>
    <w:p w:rsidR="00E320AE" w:rsidRPr="004D1483" w:rsidRDefault="00E320AE" w:rsidP="00E320AE">
      <w:pPr>
        <w:pStyle w:val="Heading1"/>
        <w:rPr>
          <w:lang w:eastAsia="en-AU"/>
        </w:rPr>
      </w:pPr>
      <w:r w:rsidRPr="004D1483">
        <w:rPr>
          <w:lang w:eastAsia="en-AU"/>
        </w:rPr>
        <w:t>Reasonableness of the exemption</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The Commission has assessed the reasonableness of the Application and has weighed the discriminatory effect of a further exemption against the reasons for the exemption. </w:t>
      </w:r>
    </w:p>
    <w:p w:rsidR="00E320AE" w:rsidRPr="004D1483" w:rsidRDefault="00E320AE" w:rsidP="00E320AE">
      <w:pPr>
        <w:pStyle w:val="Heading2"/>
        <w:rPr>
          <w:lang w:eastAsia="en-AU"/>
        </w:rPr>
      </w:pPr>
      <w:bookmarkStart w:id="2" w:name="_Toc384656312"/>
      <w:r w:rsidRPr="004D1483">
        <w:rPr>
          <w:lang w:eastAsia="en-AU"/>
        </w:rPr>
        <w:t>Discriminatory effect of the exemption</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The purpose and effect of an exemption is to make lawful, conduct that would otherwise be unlawful discrimination. </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In the current circumstances, an exemption would make it lawful for the purposes of the Disability Discrimination Act, for an ADE to continue to assess the level of wages payable to a</w:t>
      </w:r>
      <w:r>
        <w:rPr>
          <w:color w:val="auto"/>
          <w:szCs w:val="24"/>
          <w:lang w:eastAsia="en-AU"/>
        </w:rPr>
        <w:t xml:space="preserve"> supported</w:t>
      </w:r>
      <w:r w:rsidRPr="004D1483">
        <w:rPr>
          <w:color w:val="auto"/>
          <w:szCs w:val="24"/>
          <w:lang w:eastAsia="en-AU"/>
        </w:rPr>
        <w:t xml:space="preserve"> employee</w:t>
      </w:r>
      <w:r>
        <w:rPr>
          <w:color w:val="auto"/>
          <w:szCs w:val="24"/>
          <w:lang w:eastAsia="en-AU"/>
        </w:rPr>
        <w:t xml:space="preserve"> using the BSWAT tool</w:t>
      </w:r>
      <w:r w:rsidRPr="004D1483">
        <w:rPr>
          <w:color w:val="auto"/>
          <w:szCs w:val="24"/>
          <w:lang w:eastAsia="en-AU"/>
        </w:rPr>
        <w:t xml:space="preserve"> </w:t>
      </w:r>
      <w:r>
        <w:rPr>
          <w:color w:val="auto"/>
          <w:szCs w:val="24"/>
          <w:lang w:eastAsia="en-AU"/>
        </w:rPr>
        <w:t>in a manner that may be</w:t>
      </w:r>
      <w:r w:rsidRPr="004D1483">
        <w:rPr>
          <w:color w:val="auto"/>
          <w:szCs w:val="24"/>
          <w:lang w:eastAsia="en-AU"/>
        </w:rPr>
        <w:t xml:space="preserve"> discriminatory</w:t>
      </w:r>
      <w:r>
        <w:rPr>
          <w:color w:val="auto"/>
          <w:szCs w:val="24"/>
          <w:lang w:eastAsia="en-AU"/>
        </w:rPr>
        <w:t>.</w:t>
      </w:r>
      <w:r w:rsidRPr="004D1483">
        <w:rPr>
          <w:color w:val="auto"/>
          <w:szCs w:val="24"/>
          <w:lang w:eastAsia="en-AU"/>
        </w:rPr>
        <w:t xml:space="preserve"> </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Based on the reports provided to the Commission pursuant to the Original Exemption, there are still 3192 </w:t>
      </w:r>
      <w:r>
        <w:rPr>
          <w:color w:val="auto"/>
          <w:szCs w:val="24"/>
          <w:lang w:eastAsia="en-AU"/>
        </w:rPr>
        <w:t xml:space="preserve">supported </w:t>
      </w:r>
      <w:r w:rsidRPr="004D1483">
        <w:rPr>
          <w:color w:val="auto"/>
          <w:szCs w:val="24"/>
          <w:lang w:eastAsia="en-AU"/>
        </w:rPr>
        <w:t>employees</w:t>
      </w:r>
      <w:r>
        <w:rPr>
          <w:color w:val="auto"/>
          <w:szCs w:val="24"/>
          <w:lang w:eastAsia="en-AU"/>
        </w:rPr>
        <w:t xml:space="preserve"> whose wages are assessed under the BSWAT tool</w:t>
      </w:r>
      <w:r w:rsidRPr="004D1483">
        <w:rPr>
          <w:color w:val="auto"/>
          <w:szCs w:val="24"/>
          <w:lang w:eastAsia="en-AU"/>
        </w:rPr>
        <w:t xml:space="preserve"> that would be affected by the exemption. </w:t>
      </w:r>
    </w:p>
    <w:p w:rsidR="00E320AE" w:rsidRPr="004D1483" w:rsidRDefault="00E320AE" w:rsidP="00E320AE">
      <w:pPr>
        <w:pStyle w:val="SubmissionNormal"/>
        <w:numPr>
          <w:ilvl w:val="0"/>
          <w:numId w:val="35"/>
        </w:numPr>
        <w:ind w:left="1094" w:hanging="737"/>
        <w:rPr>
          <w:color w:val="auto"/>
          <w:szCs w:val="24"/>
          <w:lang w:eastAsia="en-AU"/>
        </w:rPr>
      </w:pPr>
      <w:r>
        <w:rPr>
          <w:color w:val="auto"/>
          <w:szCs w:val="24"/>
          <w:lang w:eastAsia="en-AU"/>
        </w:rPr>
        <w:t xml:space="preserve">Although the Commission requested details of the </w:t>
      </w:r>
      <w:r w:rsidRPr="002A469C">
        <w:rPr>
          <w:color w:val="auto"/>
          <w:szCs w:val="24"/>
          <w:lang w:eastAsia="en-AU"/>
        </w:rPr>
        <w:t>changes in wages of those who have been reassessed using an alternative tool</w:t>
      </w:r>
      <w:r>
        <w:rPr>
          <w:color w:val="auto"/>
          <w:szCs w:val="24"/>
          <w:lang w:eastAsia="en-AU"/>
        </w:rPr>
        <w:t>, t</w:t>
      </w:r>
      <w:r w:rsidRPr="004D1483">
        <w:rPr>
          <w:color w:val="auto"/>
          <w:szCs w:val="24"/>
          <w:lang w:eastAsia="en-AU"/>
        </w:rPr>
        <w:t>he</w:t>
      </w:r>
      <w:r>
        <w:rPr>
          <w:color w:val="auto"/>
          <w:szCs w:val="24"/>
          <w:lang w:eastAsia="en-AU"/>
        </w:rPr>
        <w:t>re is no direct</w:t>
      </w:r>
      <w:r w:rsidRPr="004D1483">
        <w:rPr>
          <w:color w:val="auto"/>
          <w:szCs w:val="24"/>
          <w:lang w:eastAsia="en-AU"/>
        </w:rPr>
        <w:t xml:space="preserve"> evidence before the Commission as to the degree to which any of </w:t>
      </w:r>
      <w:r>
        <w:rPr>
          <w:color w:val="auto"/>
          <w:szCs w:val="24"/>
          <w:lang w:eastAsia="en-AU"/>
        </w:rPr>
        <w:t>the 3192</w:t>
      </w:r>
      <w:r w:rsidRPr="004D1483">
        <w:rPr>
          <w:color w:val="auto"/>
          <w:szCs w:val="24"/>
          <w:lang w:eastAsia="en-AU"/>
        </w:rPr>
        <w:t xml:space="preserve"> employees</w:t>
      </w:r>
      <w:r>
        <w:rPr>
          <w:color w:val="auto"/>
          <w:szCs w:val="24"/>
          <w:lang w:eastAsia="en-AU"/>
        </w:rPr>
        <w:t xml:space="preserve"> whose wages are assessed under BSWAT</w:t>
      </w:r>
      <w:r w:rsidRPr="004D1483">
        <w:rPr>
          <w:color w:val="auto"/>
          <w:szCs w:val="24"/>
          <w:lang w:eastAsia="en-AU"/>
        </w:rPr>
        <w:t xml:space="preserve"> have been or are being underpaid</w:t>
      </w:r>
      <w:r>
        <w:rPr>
          <w:color w:val="auto"/>
          <w:szCs w:val="24"/>
          <w:lang w:eastAsia="en-AU"/>
        </w:rPr>
        <w:t xml:space="preserve">. Some evidence has been provided by the NDS as to the increase in the wages bill of a small sample of ADEs. </w:t>
      </w:r>
      <w:r w:rsidRPr="004D1483">
        <w:rPr>
          <w:color w:val="auto"/>
          <w:szCs w:val="24"/>
          <w:lang w:eastAsia="en-AU"/>
        </w:rPr>
        <w:t xml:space="preserve">The following evidence was submitted by </w:t>
      </w:r>
      <w:r>
        <w:rPr>
          <w:color w:val="auto"/>
          <w:szCs w:val="24"/>
          <w:lang w:eastAsia="en-AU"/>
        </w:rPr>
        <w:t>the NDS</w:t>
      </w:r>
      <w:r w:rsidRPr="004D1483">
        <w:rPr>
          <w:color w:val="auto"/>
          <w:szCs w:val="24"/>
          <w:lang w:eastAsia="en-AU"/>
        </w:rPr>
        <w:t>:</w:t>
      </w:r>
      <w:r>
        <w:rPr>
          <w:rStyle w:val="FootnoteReference"/>
          <w:color w:val="auto"/>
          <w:szCs w:val="24"/>
          <w:lang w:eastAsia="en-AU"/>
        </w:rPr>
        <w:footnoteReference w:id="12"/>
      </w:r>
    </w:p>
    <w:p w:rsidR="00E320AE" w:rsidRPr="004D1483" w:rsidRDefault="00E320AE" w:rsidP="00E320AE">
      <w:pPr>
        <w:pStyle w:val="SubmissionNormal"/>
        <w:numPr>
          <w:ilvl w:val="1"/>
          <w:numId w:val="35"/>
        </w:numPr>
        <w:rPr>
          <w:color w:val="auto"/>
          <w:szCs w:val="24"/>
          <w:lang w:eastAsia="en-AU"/>
        </w:rPr>
      </w:pPr>
      <w:r w:rsidRPr="004D1483">
        <w:rPr>
          <w:color w:val="auto"/>
          <w:szCs w:val="24"/>
          <w:lang w:eastAsia="en-AU"/>
        </w:rPr>
        <w:t>Organisation one – total wages bill has increased by 28% or $154,440 per month.</w:t>
      </w:r>
    </w:p>
    <w:p w:rsidR="00E320AE" w:rsidRPr="004D1483" w:rsidRDefault="00E320AE" w:rsidP="00E320AE">
      <w:pPr>
        <w:pStyle w:val="SubmissionNormal"/>
        <w:numPr>
          <w:ilvl w:val="1"/>
          <w:numId w:val="35"/>
        </w:numPr>
        <w:rPr>
          <w:color w:val="auto"/>
          <w:szCs w:val="24"/>
          <w:lang w:eastAsia="en-AU"/>
        </w:rPr>
      </w:pPr>
      <w:r w:rsidRPr="004D1483">
        <w:rPr>
          <w:color w:val="auto"/>
          <w:szCs w:val="24"/>
          <w:lang w:eastAsia="en-AU"/>
        </w:rPr>
        <w:t>Organisation three – estimates that total w</w:t>
      </w:r>
      <w:r>
        <w:rPr>
          <w:color w:val="auto"/>
          <w:szCs w:val="24"/>
          <w:lang w:eastAsia="en-AU"/>
        </w:rPr>
        <w:t>age costs will increase by 20%.</w:t>
      </w:r>
    </w:p>
    <w:p w:rsidR="00E320AE" w:rsidRPr="004D1483" w:rsidRDefault="00E320AE" w:rsidP="00E320AE">
      <w:pPr>
        <w:pStyle w:val="SubmissionNormal"/>
        <w:numPr>
          <w:ilvl w:val="1"/>
          <w:numId w:val="35"/>
        </w:numPr>
        <w:rPr>
          <w:color w:val="auto"/>
          <w:szCs w:val="24"/>
          <w:lang w:eastAsia="en-AU"/>
        </w:rPr>
      </w:pPr>
      <w:r w:rsidRPr="004D1483">
        <w:rPr>
          <w:color w:val="auto"/>
          <w:szCs w:val="24"/>
          <w:lang w:eastAsia="en-AU"/>
        </w:rPr>
        <w:t xml:space="preserve">Organisation four – The ADE has completed 166 Assessments. The annual wages bill has increased by $70,000. If it is assumed the increase is from the assessments, it equates to an additional $421 per assessment per year. </w:t>
      </w:r>
    </w:p>
    <w:p w:rsidR="00E320AE" w:rsidRPr="004D1483" w:rsidRDefault="00E320AE" w:rsidP="00E320AE">
      <w:pPr>
        <w:pStyle w:val="SubmissionNormal"/>
        <w:numPr>
          <w:ilvl w:val="1"/>
          <w:numId w:val="35"/>
        </w:numPr>
        <w:rPr>
          <w:color w:val="auto"/>
          <w:szCs w:val="24"/>
          <w:lang w:eastAsia="en-AU"/>
        </w:rPr>
      </w:pPr>
      <w:r w:rsidRPr="004D1483">
        <w:rPr>
          <w:color w:val="auto"/>
          <w:szCs w:val="24"/>
          <w:lang w:eastAsia="en-AU"/>
        </w:rPr>
        <w:lastRenderedPageBreak/>
        <w:t>Organisation five – wage costs are estimated to increase by around 30%.</w:t>
      </w:r>
    </w:p>
    <w:p w:rsidR="00E320AE" w:rsidRPr="00D04D49"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On this evidence it </w:t>
      </w:r>
      <w:r>
        <w:rPr>
          <w:color w:val="auto"/>
          <w:szCs w:val="24"/>
          <w:lang w:eastAsia="en-AU"/>
        </w:rPr>
        <w:t>might</w:t>
      </w:r>
      <w:r w:rsidRPr="004D1483">
        <w:rPr>
          <w:color w:val="auto"/>
          <w:szCs w:val="24"/>
          <w:lang w:eastAsia="en-AU"/>
        </w:rPr>
        <w:t xml:space="preserve"> be estimated that the average </w:t>
      </w:r>
      <w:r>
        <w:rPr>
          <w:color w:val="auto"/>
          <w:szCs w:val="24"/>
          <w:lang w:eastAsia="en-AU"/>
        </w:rPr>
        <w:t>difference in payment of wages under the BSWAT</w:t>
      </w:r>
      <w:r w:rsidRPr="004D1483">
        <w:rPr>
          <w:color w:val="auto"/>
          <w:szCs w:val="24"/>
          <w:lang w:eastAsia="en-AU"/>
        </w:rPr>
        <w:t xml:space="preserve"> </w:t>
      </w:r>
      <w:r>
        <w:rPr>
          <w:color w:val="auto"/>
          <w:szCs w:val="24"/>
          <w:lang w:eastAsia="en-AU"/>
        </w:rPr>
        <w:t>when compared to tools is an underpayment of between 20%-30% and that this is reflective of the level of underpayment that may be experienced by supported employees being paid under BSWAT. It is however difficult to draw firm conclusions from this small sample of ADEs.</w:t>
      </w:r>
    </w:p>
    <w:p w:rsidR="00E320AE" w:rsidRDefault="00E320AE" w:rsidP="00E320AE">
      <w:pPr>
        <w:pStyle w:val="SubmissionNormal"/>
        <w:numPr>
          <w:ilvl w:val="0"/>
          <w:numId w:val="35"/>
        </w:numPr>
        <w:ind w:left="1094" w:hanging="737"/>
        <w:rPr>
          <w:color w:val="auto"/>
          <w:szCs w:val="24"/>
          <w:lang w:eastAsia="en-AU"/>
        </w:rPr>
      </w:pPr>
      <w:r w:rsidRPr="00D04D49">
        <w:rPr>
          <w:color w:val="auto"/>
          <w:szCs w:val="24"/>
          <w:lang w:eastAsia="en-AU"/>
        </w:rPr>
        <w:t>As submitted</w:t>
      </w:r>
      <w:r>
        <w:rPr>
          <w:color w:val="auto"/>
          <w:szCs w:val="24"/>
          <w:lang w:eastAsia="en-AU"/>
        </w:rPr>
        <w:t xml:space="preserve"> by those opposed to the exemption, an exemption would allow this unlawful discrimination to continue </w:t>
      </w:r>
      <w:r w:rsidRPr="007B07F3">
        <w:rPr>
          <w:color w:val="auto"/>
          <w:szCs w:val="24"/>
          <w:lang w:eastAsia="en-AU"/>
        </w:rPr>
        <w:t>and in that regard would be contrary to the objects of the Disability Discrimination Act</w:t>
      </w:r>
      <w:r>
        <w:rPr>
          <w:color w:val="auto"/>
          <w:szCs w:val="24"/>
          <w:lang w:eastAsia="en-AU"/>
        </w:rPr>
        <w:t xml:space="preserve">. </w:t>
      </w:r>
    </w:p>
    <w:p w:rsidR="00E320AE" w:rsidRPr="004D1483" w:rsidRDefault="00E320AE" w:rsidP="00E320AE">
      <w:pPr>
        <w:pStyle w:val="SubmissionNormal"/>
        <w:numPr>
          <w:ilvl w:val="0"/>
          <w:numId w:val="35"/>
        </w:numPr>
        <w:ind w:left="1094" w:hanging="737"/>
        <w:rPr>
          <w:color w:val="auto"/>
          <w:szCs w:val="24"/>
          <w:lang w:eastAsia="en-AU"/>
        </w:rPr>
      </w:pPr>
      <w:r>
        <w:rPr>
          <w:color w:val="auto"/>
          <w:szCs w:val="24"/>
          <w:lang w:eastAsia="en-AU"/>
        </w:rPr>
        <w:t xml:space="preserve">Submissions in favour of the exemption note that for some parents and their children, the discriminatory effect of underpayment of wages is not as important as the other services and benefits being provided by the ADEs. </w:t>
      </w:r>
    </w:p>
    <w:bookmarkEnd w:id="2"/>
    <w:p w:rsidR="00E320AE" w:rsidRPr="004D1483" w:rsidRDefault="00E320AE" w:rsidP="00E320AE">
      <w:pPr>
        <w:pStyle w:val="Heading2"/>
        <w:rPr>
          <w:lang w:eastAsia="en-AU"/>
        </w:rPr>
      </w:pPr>
      <w:r w:rsidRPr="004D1483">
        <w:rPr>
          <w:lang w:eastAsia="en-AU"/>
        </w:rPr>
        <w:t>Reasons for the exemption application</w:t>
      </w:r>
    </w:p>
    <w:p w:rsidR="00E320AE" w:rsidRPr="004D1483" w:rsidRDefault="00E320AE" w:rsidP="00E320AE">
      <w:pPr>
        <w:pStyle w:val="SubmissionNormal"/>
        <w:keepNext/>
        <w:numPr>
          <w:ilvl w:val="0"/>
          <w:numId w:val="35"/>
        </w:numPr>
        <w:ind w:left="1094" w:hanging="737"/>
        <w:rPr>
          <w:color w:val="auto"/>
          <w:szCs w:val="24"/>
          <w:lang w:eastAsia="en-AU"/>
        </w:rPr>
      </w:pPr>
      <w:r w:rsidRPr="004D1483">
        <w:rPr>
          <w:color w:val="auto"/>
          <w:szCs w:val="24"/>
          <w:lang w:eastAsia="en-AU"/>
        </w:rPr>
        <w:t xml:space="preserve">The </w:t>
      </w:r>
      <w:r>
        <w:rPr>
          <w:color w:val="auto"/>
          <w:szCs w:val="24"/>
          <w:lang w:eastAsia="en-AU"/>
        </w:rPr>
        <w:t xml:space="preserve">reasons for the Application can be summarised </w:t>
      </w:r>
      <w:r w:rsidRPr="004D1483">
        <w:rPr>
          <w:color w:val="auto"/>
          <w:szCs w:val="24"/>
          <w:lang w:eastAsia="en-AU"/>
        </w:rPr>
        <w:t>as follows:</w:t>
      </w:r>
    </w:p>
    <w:p w:rsidR="00E320AE" w:rsidRPr="009D0EB3" w:rsidRDefault="00E320AE" w:rsidP="00E320AE">
      <w:pPr>
        <w:pStyle w:val="SubmissionNormal"/>
        <w:numPr>
          <w:ilvl w:val="1"/>
          <w:numId w:val="35"/>
        </w:numPr>
        <w:rPr>
          <w:color w:val="auto"/>
          <w:szCs w:val="24"/>
          <w:lang w:eastAsia="en-AU"/>
        </w:rPr>
      </w:pPr>
      <w:r w:rsidRPr="004D1483">
        <w:rPr>
          <w:color w:val="auto"/>
          <w:szCs w:val="24"/>
          <w:lang w:eastAsia="en-AU"/>
        </w:rPr>
        <w:t xml:space="preserve">To enable the transition from BSWAT to an alternative tool to continue in an orderly manner and without </w:t>
      </w:r>
      <w:r>
        <w:rPr>
          <w:color w:val="auto"/>
          <w:szCs w:val="24"/>
          <w:lang w:eastAsia="en-AU"/>
        </w:rPr>
        <w:t xml:space="preserve">the </w:t>
      </w:r>
      <w:r w:rsidRPr="004D1483">
        <w:rPr>
          <w:color w:val="auto"/>
          <w:szCs w:val="24"/>
          <w:lang w:eastAsia="en-AU"/>
        </w:rPr>
        <w:t>disruption</w:t>
      </w:r>
      <w:r>
        <w:rPr>
          <w:color w:val="auto"/>
          <w:szCs w:val="24"/>
          <w:lang w:eastAsia="en-AU"/>
        </w:rPr>
        <w:t xml:space="preserve"> that may flow if the conduct of assessing wages using BSWAT remains unlawful. This includes </w:t>
      </w:r>
      <w:r w:rsidRPr="009D0EB3">
        <w:rPr>
          <w:color w:val="auto"/>
          <w:szCs w:val="24"/>
          <w:lang w:eastAsia="en-AU"/>
        </w:rPr>
        <w:t xml:space="preserve">ADEs potentially being in breach of </w:t>
      </w:r>
      <w:r>
        <w:rPr>
          <w:color w:val="auto"/>
          <w:szCs w:val="24"/>
          <w:lang w:eastAsia="en-AU"/>
        </w:rPr>
        <w:t>the National Standards for  Disability Services and as such may</w:t>
      </w:r>
      <w:r w:rsidRPr="009D0EB3">
        <w:rPr>
          <w:color w:val="auto"/>
          <w:szCs w:val="24"/>
          <w:lang w:eastAsia="en-AU"/>
        </w:rPr>
        <w:t xml:space="preserve"> los</w:t>
      </w:r>
      <w:r>
        <w:rPr>
          <w:color w:val="auto"/>
          <w:szCs w:val="24"/>
          <w:lang w:eastAsia="en-AU"/>
        </w:rPr>
        <w:t>e funding and put</w:t>
      </w:r>
      <w:r w:rsidRPr="009D0EB3">
        <w:rPr>
          <w:color w:val="auto"/>
          <w:szCs w:val="24"/>
          <w:lang w:eastAsia="en-AU"/>
        </w:rPr>
        <w:t xml:space="preserve"> jobs at risk;</w:t>
      </w:r>
    </w:p>
    <w:p w:rsidR="00E320AE" w:rsidRPr="004D1483" w:rsidRDefault="00E320AE" w:rsidP="00E320AE">
      <w:pPr>
        <w:pStyle w:val="SubmissionNormal"/>
        <w:numPr>
          <w:ilvl w:val="1"/>
          <w:numId w:val="35"/>
        </w:numPr>
        <w:rPr>
          <w:color w:val="auto"/>
          <w:szCs w:val="24"/>
          <w:lang w:eastAsia="en-AU"/>
        </w:rPr>
      </w:pPr>
      <w:r w:rsidRPr="004D1483">
        <w:rPr>
          <w:color w:val="auto"/>
          <w:szCs w:val="24"/>
          <w:lang w:eastAsia="en-AU"/>
        </w:rPr>
        <w:t xml:space="preserve">To avoid the closure of ADEs due to additional financial pressure arising from </w:t>
      </w:r>
      <w:r>
        <w:rPr>
          <w:color w:val="auto"/>
          <w:szCs w:val="24"/>
          <w:lang w:eastAsia="en-AU"/>
        </w:rPr>
        <w:t xml:space="preserve">the </w:t>
      </w:r>
      <w:r w:rsidRPr="004D1483">
        <w:rPr>
          <w:color w:val="auto"/>
          <w:szCs w:val="24"/>
          <w:lang w:eastAsia="en-AU"/>
        </w:rPr>
        <w:t>transition under tight</w:t>
      </w:r>
      <w:r>
        <w:rPr>
          <w:color w:val="auto"/>
          <w:szCs w:val="24"/>
          <w:lang w:eastAsia="en-AU"/>
        </w:rPr>
        <w:t>/constrained timeframes</w:t>
      </w:r>
      <w:r w:rsidRPr="004D1483">
        <w:rPr>
          <w:color w:val="auto"/>
          <w:szCs w:val="24"/>
          <w:lang w:eastAsia="en-AU"/>
        </w:rPr>
        <w:t xml:space="preserve">; and </w:t>
      </w:r>
    </w:p>
    <w:p w:rsidR="00E320AE" w:rsidRDefault="00E320AE" w:rsidP="00E320AE">
      <w:pPr>
        <w:pStyle w:val="SubmissionNormal"/>
        <w:numPr>
          <w:ilvl w:val="1"/>
          <w:numId w:val="35"/>
        </w:numPr>
        <w:rPr>
          <w:color w:val="auto"/>
          <w:szCs w:val="24"/>
          <w:lang w:eastAsia="en-AU"/>
        </w:rPr>
      </w:pPr>
      <w:r w:rsidRPr="004D1483">
        <w:rPr>
          <w:color w:val="auto"/>
          <w:szCs w:val="24"/>
          <w:lang w:eastAsia="en-AU"/>
        </w:rPr>
        <w:t xml:space="preserve">To provide </w:t>
      </w:r>
      <w:r>
        <w:rPr>
          <w:color w:val="auto"/>
          <w:szCs w:val="24"/>
          <w:lang w:eastAsia="en-AU"/>
        </w:rPr>
        <w:t xml:space="preserve">reassurance and </w:t>
      </w:r>
      <w:r w:rsidRPr="004D1483">
        <w:rPr>
          <w:color w:val="auto"/>
          <w:szCs w:val="24"/>
          <w:lang w:eastAsia="en-AU"/>
        </w:rPr>
        <w:t xml:space="preserve">certainty </w:t>
      </w:r>
      <w:r>
        <w:rPr>
          <w:color w:val="auto"/>
          <w:szCs w:val="24"/>
          <w:lang w:eastAsia="en-AU"/>
        </w:rPr>
        <w:t>for supported</w:t>
      </w:r>
      <w:r w:rsidRPr="004D1483">
        <w:rPr>
          <w:color w:val="auto"/>
          <w:szCs w:val="24"/>
          <w:lang w:eastAsia="en-AU"/>
        </w:rPr>
        <w:t xml:space="preserve"> employees and </w:t>
      </w:r>
      <w:r>
        <w:rPr>
          <w:color w:val="auto"/>
          <w:szCs w:val="24"/>
          <w:lang w:eastAsia="en-AU"/>
        </w:rPr>
        <w:t xml:space="preserve">their </w:t>
      </w:r>
      <w:r w:rsidRPr="004D1483">
        <w:rPr>
          <w:color w:val="auto"/>
          <w:szCs w:val="24"/>
          <w:lang w:eastAsia="en-AU"/>
        </w:rPr>
        <w:t>family and carers.</w:t>
      </w:r>
    </w:p>
    <w:p w:rsidR="00E320AE" w:rsidRPr="005261B5" w:rsidRDefault="00E320AE" w:rsidP="00E320AE">
      <w:pPr>
        <w:pStyle w:val="SubmissionNormal"/>
        <w:numPr>
          <w:ilvl w:val="0"/>
          <w:numId w:val="35"/>
        </w:numPr>
        <w:ind w:left="1094" w:hanging="737"/>
        <w:rPr>
          <w:color w:val="auto"/>
          <w:szCs w:val="24"/>
          <w:lang w:eastAsia="en-AU"/>
        </w:rPr>
      </w:pPr>
      <w:r>
        <w:rPr>
          <w:color w:val="auto"/>
          <w:szCs w:val="24"/>
          <w:lang w:eastAsia="en-AU"/>
        </w:rPr>
        <w:t xml:space="preserve">These reasons were echoed by the submissions received in support of the Application. </w:t>
      </w:r>
      <w:r w:rsidRPr="005261B5">
        <w:rPr>
          <w:color w:val="auto"/>
          <w:szCs w:val="24"/>
          <w:lang w:eastAsia="en-AU"/>
        </w:rPr>
        <w:t xml:space="preserve">Of the 36 written submissions received by the Commission, 31 supported the </w:t>
      </w:r>
      <w:r>
        <w:rPr>
          <w:color w:val="auto"/>
          <w:szCs w:val="24"/>
          <w:lang w:eastAsia="en-AU"/>
        </w:rPr>
        <w:t>Application</w:t>
      </w:r>
      <w:r w:rsidRPr="005261B5">
        <w:rPr>
          <w:color w:val="auto"/>
          <w:szCs w:val="24"/>
          <w:lang w:eastAsia="en-AU"/>
        </w:rPr>
        <w:t xml:space="preserve">. Of these, 24 were from ADEs and 7 were from family and carers of </w:t>
      </w:r>
      <w:r>
        <w:rPr>
          <w:color w:val="auto"/>
          <w:szCs w:val="24"/>
          <w:lang w:eastAsia="en-AU"/>
        </w:rPr>
        <w:t xml:space="preserve">supported </w:t>
      </w:r>
      <w:r w:rsidRPr="005261B5">
        <w:rPr>
          <w:color w:val="auto"/>
          <w:szCs w:val="24"/>
          <w:lang w:eastAsia="en-AU"/>
        </w:rPr>
        <w:t xml:space="preserve">employees. </w:t>
      </w:r>
    </w:p>
    <w:p w:rsidR="00E320AE"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Of the 36 submissions received, 5 </w:t>
      </w:r>
      <w:r>
        <w:rPr>
          <w:color w:val="auto"/>
          <w:szCs w:val="24"/>
          <w:lang w:eastAsia="en-AU"/>
        </w:rPr>
        <w:t xml:space="preserve">disagreed with these reasons and </w:t>
      </w:r>
      <w:r w:rsidRPr="004D1483">
        <w:rPr>
          <w:color w:val="auto"/>
          <w:szCs w:val="24"/>
          <w:lang w:eastAsia="en-AU"/>
        </w:rPr>
        <w:t>submitted that the exemption should not</w:t>
      </w:r>
      <w:r>
        <w:rPr>
          <w:color w:val="auto"/>
          <w:szCs w:val="24"/>
          <w:lang w:eastAsia="en-AU"/>
        </w:rPr>
        <w:t xml:space="preserve"> be granted. </w:t>
      </w:r>
    </w:p>
    <w:p w:rsidR="00E320AE" w:rsidRDefault="00E320AE" w:rsidP="00E320AE">
      <w:pPr>
        <w:pStyle w:val="Heading3"/>
        <w:rPr>
          <w:lang w:eastAsia="en-AU"/>
        </w:rPr>
      </w:pPr>
      <w:r>
        <w:rPr>
          <w:lang w:eastAsia="en-AU"/>
        </w:rPr>
        <w:t xml:space="preserve">Orderly transition to an alternative tool </w:t>
      </w:r>
    </w:p>
    <w:p w:rsidR="00E320AE" w:rsidRDefault="00E320AE" w:rsidP="00E320AE">
      <w:pPr>
        <w:pStyle w:val="SubmissionNormal"/>
        <w:numPr>
          <w:ilvl w:val="0"/>
          <w:numId w:val="35"/>
        </w:numPr>
        <w:ind w:left="1094" w:hanging="737"/>
        <w:rPr>
          <w:lang w:eastAsia="en-AU"/>
        </w:rPr>
      </w:pPr>
      <w:r>
        <w:rPr>
          <w:lang w:eastAsia="en-AU"/>
        </w:rPr>
        <w:t xml:space="preserve">The Commonwealth and the NDS submit, and the Commission accepts, that while progress has been made in transitioning to an alternative tool, there is still work to be done and more time is needed to conduct the remaining assessments with an alternative tool. </w:t>
      </w:r>
    </w:p>
    <w:p w:rsidR="00E320AE" w:rsidRPr="00C06DC2" w:rsidRDefault="00E320AE" w:rsidP="00E320AE">
      <w:pPr>
        <w:pStyle w:val="Heading4"/>
        <w:rPr>
          <w:lang w:eastAsia="en-AU"/>
        </w:rPr>
      </w:pPr>
      <w:r w:rsidRPr="00C06DC2">
        <w:rPr>
          <w:lang w:eastAsia="en-AU"/>
        </w:rPr>
        <w:t>Time to conduct new assessments and to transition to an alternative tool</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The Original Exemption was granted to allow time for new assessments to be conducted. The Applicants claimed they needed 3 years to conduct the </w:t>
      </w:r>
      <w:r w:rsidRPr="004D1483">
        <w:rPr>
          <w:color w:val="auto"/>
          <w:szCs w:val="24"/>
          <w:lang w:eastAsia="en-AU"/>
        </w:rPr>
        <w:lastRenderedPageBreak/>
        <w:t xml:space="preserve">new assessments, but on the basis of the submissions received by the Commission it was decided that it was not appropriate to allow the discrimination to continue for 3 years. </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It appears that while some progress has been made and 63% of </w:t>
      </w:r>
      <w:r>
        <w:rPr>
          <w:color w:val="auto"/>
          <w:szCs w:val="24"/>
          <w:lang w:eastAsia="en-AU"/>
        </w:rPr>
        <w:t xml:space="preserve">supported </w:t>
      </w:r>
      <w:r w:rsidRPr="004D1483">
        <w:rPr>
          <w:color w:val="auto"/>
          <w:szCs w:val="24"/>
          <w:lang w:eastAsia="en-AU"/>
        </w:rPr>
        <w:t xml:space="preserve">employees have been assessed with alternative tools, there are still numerous employees that need to be re-assessed, 3192 as at 31 July 2015. </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The submissions from ADEs indicate that logistically, conducting the number of assessments that needed to be done could not be done in the number of business days available in the last 12 months. </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Further, it appears that many of the ADEs have transitioned to two tools, Greenacres and SkillsMaster</w:t>
      </w:r>
      <w:r>
        <w:rPr>
          <w:color w:val="auto"/>
          <w:szCs w:val="24"/>
          <w:lang w:eastAsia="en-AU"/>
        </w:rPr>
        <w:t>,</w:t>
      </w:r>
      <w:r w:rsidRPr="004D1483">
        <w:rPr>
          <w:color w:val="auto"/>
          <w:szCs w:val="24"/>
          <w:lang w:eastAsia="en-AU"/>
        </w:rPr>
        <w:t xml:space="preserve"> 45 of 60 that responded to an NDS survey.  While evidence was not provided, </w:t>
      </w:r>
      <w:r>
        <w:rPr>
          <w:color w:val="auto"/>
          <w:szCs w:val="24"/>
          <w:lang w:eastAsia="en-AU"/>
        </w:rPr>
        <w:t>the Commonwealth</w:t>
      </w:r>
      <w:r w:rsidRPr="004D1483">
        <w:rPr>
          <w:color w:val="auto"/>
          <w:szCs w:val="24"/>
          <w:lang w:eastAsia="en-AU"/>
        </w:rPr>
        <w:t xml:space="preserve"> submitted that </w:t>
      </w:r>
      <w:r>
        <w:rPr>
          <w:color w:val="auto"/>
          <w:szCs w:val="24"/>
          <w:lang w:eastAsia="en-AU"/>
        </w:rPr>
        <w:t>h</w:t>
      </w:r>
      <w:r w:rsidRPr="004D1483">
        <w:rPr>
          <w:color w:val="auto"/>
          <w:szCs w:val="24"/>
          <w:lang w:eastAsia="en-AU"/>
        </w:rPr>
        <w:t>igh demand for the two most popular wage tools, SkillsMaster and Greenacres, has meant extensive delays in the implementation of these tools by organisations seeking to use them.</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The KMPG report indicates that of the 9293 </w:t>
      </w:r>
      <w:r>
        <w:rPr>
          <w:color w:val="auto"/>
          <w:szCs w:val="24"/>
          <w:lang w:eastAsia="en-AU"/>
        </w:rPr>
        <w:t xml:space="preserve">supported </w:t>
      </w:r>
      <w:r w:rsidRPr="004D1483">
        <w:rPr>
          <w:color w:val="auto"/>
          <w:szCs w:val="24"/>
          <w:lang w:eastAsia="en-AU"/>
        </w:rPr>
        <w:t xml:space="preserve">employees in a sample of supported employees analysed by them in terms of hours worked, </w:t>
      </w:r>
      <w:r>
        <w:rPr>
          <w:color w:val="auto"/>
          <w:szCs w:val="24"/>
          <w:lang w:eastAsia="en-AU"/>
        </w:rPr>
        <w:t xml:space="preserve">55% </w:t>
      </w:r>
      <w:r w:rsidRPr="004D1483">
        <w:rPr>
          <w:color w:val="auto"/>
          <w:szCs w:val="24"/>
          <w:lang w:eastAsia="en-AU"/>
        </w:rPr>
        <w:t>are assessed under the Greenacres t</w:t>
      </w:r>
      <w:r>
        <w:rPr>
          <w:color w:val="auto"/>
          <w:szCs w:val="24"/>
          <w:lang w:eastAsia="en-AU"/>
        </w:rPr>
        <w:t>ool and 10% with SkillsMaster. However, t</w:t>
      </w:r>
      <w:r w:rsidRPr="004D1483">
        <w:rPr>
          <w:color w:val="auto"/>
          <w:szCs w:val="24"/>
          <w:lang w:eastAsia="en-AU"/>
        </w:rPr>
        <w:t>hese figures do not indicate how many have transitioned to these tools in the last 12 months.</w:t>
      </w:r>
    </w:p>
    <w:p w:rsidR="00E320AE" w:rsidRPr="004D1483" w:rsidRDefault="00E320AE" w:rsidP="00E320AE">
      <w:pPr>
        <w:pStyle w:val="SubmissionNormal"/>
        <w:keepNext/>
        <w:numPr>
          <w:ilvl w:val="0"/>
          <w:numId w:val="35"/>
        </w:numPr>
        <w:ind w:left="1094" w:hanging="737"/>
        <w:rPr>
          <w:color w:val="auto"/>
          <w:szCs w:val="24"/>
          <w:lang w:eastAsia="en-AU"/>
        </w:rPr>
      </w:pPr>
      <w:r w:rsidRPr="004D1483">
        <w:rPr>
          <w:color w:val="auto"/>
          <w:szCs w:val="24"/>
          <w:lang w:eastAsia="en-AU"/>
        </w:rPr>
        <w:t xml:space="preserve">In its third quarterly report </w:t>
      </w:r>
      <w:r>
        <w:rPr>
          <w:color w:val="auto"/>
          <w:szCs w:val="24"/>
          <w:lang w:eastAsia="en-AU"/>
        </w:rPr>
        <w:t xml:space="preserve">to the Commission </w:t>
      </w:r>
      <w:r w:rsidRPr="004D1483">
        <w:rPr>
          <w:color w:val="auto"/>
          <w:szCs w:val="24"/>
          <w:lang w:eastAsia="en-AU"/>
        </w:rPr>
        <w:t xml:space="preserve">the </w:t>
      </w:r>
      <w:r>
        <w:rPr>
          <w:color w:val="auto"/>
          <w:szCs w:val="24"/>
          <w:lang w:eastAsia="en-AU"/>
        </w:rPr>
        <w:t xml:space="preserve">Commonwealth </w:t>
      </w:r>
      <w:r w:rsidRPr="004D1483">
        <w:rPr>
          <w:color w:val="auto"/>
          <w:szCs w:val="24"/>
          <w:lang w:eastAsia="en-AU"/>
        </w:rPr>
        <w:t>indicated:</w:t>
      </w:r>
    </w:p>
    <w:p w:rsidR="00E320AE" w:rsidRPr="00544844" w:rsidRDefault="00E320AE" w:rsidP="00E320AE">
      <w:pPr>
        <w:pStyle w:val="SubmissionNormal"/>
        <w:tabs>
          <w:tab w:val="clear" w:pos="720"/>
        </w:tabs>
        <w:ind w:left="1440"/>
        <w:rPr>
          <w:color w:val="auto"/>
          <w:sz w:val="22"/>
          <w:szCs w:val="22"/>
          <w:lang w:eastAsia="en-AU"/>
        </w:rPr>
      </w:pPr>
      <w:r w:rsidRPr="00544844">
        <w:rPr>
          <w:color w:val="auto"/>
          <w:sz w:val="22"/>
          <w:szCs w:val="22"/>
          <w:lang w:eastAsia="en-AU"/>
        </w:rPr>
        <w:t>There are some delays with the SkillsMaster and Greenacre assessments at some ADEs who have purchased these tools due to the volume of work for the two businesses that own and pr</w:t>
      </w:r>
      <w:r>
        <w:rPr>
          <w:color w:val="auto"/>
          <w:sz w:val="22"/>
          <w:szCs w:val="22"/>
          <w:lang w:eastAsia="en-AU"/>
        </w:rPr>
        <w:t>ovide training for these tools.</w:t>
      </w:r>
    </w:p>
    <w:p w:rsidR="00E320AE"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On balance, although </w:t>
      </w:r>
      <w:r>
        <w:rPr>
          <w:color w:val="auto"/>
          <w:szCs w:val="24"/>
          <w:lang w:eastAsia="en-AU"/>
        </w:rPr>
        <w:t xml:space="preserve">some submit </w:t>
      </w:r>
      <w:r w:rsidRPr="004D1483">
        <w:rPr>
          <w:color w:val="auto"/>
          <w:szCs w:val="24"/>
          <w:lang w:eastAsia="en-AU"/>
        </w:rPr>
        <w:t xml:space="preserve">that there is no evidence of delays with these two tools, </w:t>
      </w:r>
      <w:r>
        <w:rPr>
          <w:color w:val="auto"/>
          <w:szCs w:val="24"/>
          <w:lang w:eastAsia="en-AU"/>
        </w:rPr>
        <w:t>it is reasonable to accept that the sudden increase in the numbers of assessments to be conducted with these tools would be likely to cause some delays in those ADEs that have chosen these tools.</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As at 31 July 2015 there were still 3192 </w:t>
      </w:r>
      <w:r>
        <w:rPr>
          <w:color w:val="auto"/>
          <w:szCs w:val="24"/>
          <w:lang w:eastAsia="en-AU"/>
        </w:rPr>
        <w:t>supported employees being paid pursuant to assessments</w:t>
      </w:r>
      <w:r w:rsidRPr="004D1483">
        <w:rPr>
          <w:color w:val="auto"/>
          <w:szCs w:val="24"/>
          <w:lang w:eastAsia="en-AU"/>
        </w:rPr>
        <w:t xml:space="preserve"> </w:t>
      </w:r>
      <w:r>
        <w:rPr>
          <w:color w:val="auto"/>
          <w:szCs w:val="24"/>
          <w:lang w:eastAsia="en-AU"/>
        </w:rPr>
        <w:t xml:space="preserve">originally </w:t>
      </w:r>
      <w:r w:rsidRPr="004D1483">
        <w:rPr>
          <w:color w:val="auto"/>
          <w:szCs w:val="24"/>
          <w:lang w:eastAsia="en-AU"/>
        </w:rPr>
        <w:t>conducted</w:t>
      </w:r>
      <w:r>
        <w:rPr>
          <w:color w:val="auto"/>
          <w:szCs w:val="24"/>
          <w:lang w:eastAsia="en-AU"/>
        </w:rPr>
        <w:t xml:space="preserve"> before the use of BSWAT was found to be unlawful</w:t>
      </w:r>
      <w:r w:rsidRPr="004D1483">
        <w:rPr>
          <w:color w:val="auto"/>
          <w:szCs w:val="24"/>
          <w:lang w:eastAsia="en-AU"/>
        </w:rPr>
        <w:t xml:space="preserve">. </w:t>
      </w:r>
      <w:r>
        <w:rPr>
          <w:color w:val="auto"/>
          <w:szCs w:val="24"/>
          <w:lang w:eastAsia="en-AU"/>
        </w:rPr>
        <w:t>As the Commission found in the Original Exemption, while alternative tools are immediately available, new assessments can not be done instantly</w:t>
      </w:r>
      <w:r w:rsidRPr="004D1483">
        <w:rPr>
          <w:color w:val="auto"/>
          <w:szCs w:val="24"/>
          <w:lang w:eastAsia="en-AU"/>
        </w:rPr>
        <w:t>.</w:t>
      </w:r>
      <w:r>
        <w:rPr>
          <w:color w:val="auto"/>
          <w:szCs w:val="24"/>
          <w:lang w:eastAsia="en-AU"/>
        </w:rPr>
        <w:t xml:space="preserve"> In these circumstances it is reasonable to allow a further short period to allow the remainder of the assessments to be done.</w:t>
      </w:r>
    </w:p>
    <w:p w:rsidR="00E320AE" w:rsidRDefault="00E320AE" w:rsidP="00E320AE">
      <w:pPr>
        <w:pStyle w:val="Heading4"/>
        <w:rPr>
          <w:lang w:eastAsia="en-AU"/>
        </w:rPr>
      </w:pPr>
      <w:r>
        <w:rPr>
          <w:lang w:eastAsia="en-AU"/>
        </w:rPr>
        <w:t>Certainty and stability</w:t>
      </w:r>
    </w:p>
    <w:p w:rsidR="00E320AE" w:rsidRPr="007701A2" w:rsidRDefault="00E320AE" w:rsidP="00E320AE">
      <w:pPr>
        <w:pStyle w:val="SubmissionNormal"/>
        <w:numPr>
          <w:ilvl w:val="0"/>
          <w:numId w:val="35"/>
        </w:numPr>
        <w:ind w:left="1094" w:hanging="737"/>
        <w:rPr>
          <w:lang w:eastAsia="en-AU"/>
        </w:rPr>
      </w:pPr>
      <w:r>
        <w:rPr>
          <w:lang w:eastAsia="en-AU"/>
        </w:rPr>
        <w:t xml:space="preserve">The applicants note that in addition to the transition away from BSWAT, there are other ongoing processes impacting on ADEs. These include transition to the National Disability Insurance Scheme, continuing work in the Fair Work Commission for the development of a new wage assessment tool and the 4 yearly review of the Award.  They submit that in </w:t>
      </w:r>
      <w:r>
        <w:rPr>
          <w:lang w:eastAsia="en-AU"/>
        </w:rPr>
        <w:lastRenderedPageBreak/>
        <w:t>these circumstances an exemption will provide the necessary stability and certainty for ADEs to continue to focus on the transition without being distracted by the impacts of the payment of wages pursuant to BSWAT being unlawful discrimination.</w:t>
      </w:r>
    </w:p>
    <w:p w:rsidR="00E320AE" w:rsidRDefault="00E320AE" w:rsidP="00E320AE">
      <w:pPr>
        <w:pStyle w:val="SubmissionNormal"/>
        <w:numPr>
          <w:ilvl w:val="0"/>
          <w:numId w:val="35"/>
        </w:numPr>
        <w:ind w:left="1094" w:hanging="737"/>
        <w:rPr>
          <w:lang w:eastAsia="en-AU"/>
        </w:rPr>
      </w:pPr>
      <w:r>
        <w:rPr>
          <w:lang w:eastAsia="en-AU"/>
        </w:rPr>
        <w:t xml:space="preserve">The Commission also accepts there is a risk that an ADE without an exemption from the Disability Discrimination Act that continues to use BSWAT may be assessed as not conforming with legislated quality assurance requirements, namely the National Standards for Disability Services (Standards) and as such may lose its funding under the </w:t>
      </w:r>
      <w:r w:rsidRPr="007701A2">
        <w:rPr>
          <w:i/>
          <w:lang w:eastAsia="en-AU"/>
        </w:rPr>
        <w:t>Disability Services Act</w:t>
      </w:r>
      <w:r>
        <w:rPr>
          <w:i/>
          <w:lang w:eastAsia="en-AU"/>
        </w:rPr>
        <w:t xml:space="preserve"> 1986</w:t>
      </w:r>
      <w:r>
        <w:rPr>
          <w:lang w:eastAsia="en-AU"/>
        </w:rPr>
        <w:t xml:space="preserve"> (Cth). </w:t>
      </w:r>
    </w:p>
    <w:p w:rsidR="00E320AE" w:rsidRDefault="00E320AE" w:rsidP="00E320AE">
      <w:pPr>
        <w:pStyle w:val="SubmissionNormal"/>
        <w:numPr>
          <w:ilvl w:val="0"/>
          <w:numId w:val="35"/>
        </w:numPr>
        <w:ind w:left="1094" w:hanging="737"/>
        <w:rPr>
          <w:lang w:eastAsia="en-AU"/>
        </w:rPr>
      </w:pPr>
      <w:r>
        <w:rPr>
          <w:lang w:eastAsia="en-AU"/>
        </w:rPr>
        <w:t xml:space="preserve">In its response of 24 August 2015 the Commonwealth clarified the situation in relation to the potential breach. The Commonwealth indicated that there are a range of possible responses or consequences to non conformance with the requirements of the Standards. One such response is for a declaration by the Minister that they are not meeting the standards and are consequently in breach of the condition of the grant.  </w:t>
      </w:r>
    </w:p>
    <w:p w:rsidR="00E320AE" w:rsidRDefault="00E320AE" w:rsidP="00E320AE">
      <w:pPr>
        <w:pStyle w:val="SubmissionNormal"/>
        <w:numPr>
          <w:ilvl w:val="0"/>
          <w:numId w:val="35"/>
        </w:numPr>
        <w:ind w:left="1094" w:hanging="737"/>
        <w:rPr>
          <w:lang w:eastAsia="en-AU"/>
        </w:rPr>
      </w:pPr>
      <w:r>
        <w:rPr>
          <w:lang w:eastAsia="en-AU"/>
        </w:rPr>
        <w:t xml:space="preserve">While, the Commission is not satisfied the use of BSWAT without an exemption will necessarily translate into closure of the ADE and job losses, it does accept it will likely lead to uncertainty for the ADEs regarding their funding in circumstances where, on the evidence from the NDS, many are already operating in uncertain financial circumstances. </w:t>
      </w:r>
    </w:p>
    <w:p w:rsidR="00E320AE" w:rsidRPr="004D1483" w:rsidRDefault="00E320AE" w:rsidP="00E320AE">
      <w:pPr>
        <w:pStyle w:val="Heading3"/>
        <w:rPr>
          <w:lang w:eastAsia="en-AU"/>
        </w:rPr>
      </w:pPr>
      <w:r w:rsidRPr="00204824">
        <w:t>Financial</w:t>
      </w:r>
      <w:r w:rsidRPr="004D1483">
        <w:rPr>
          <w:lang w:eastAsia="en-AU"/>
        </w:rPr>
        <w:t xml:space="preserve"> </w:t>
      </w:r>
      <w:r>
        <w:rPr>
          <w:lang w:eastAsia="en-AU"/>
        </w:rPr>
        <w:t>v</w:t>
      </w:r>
      <w:r w:rsidRPr="004D1483">
        <w:rPr>
          <w:lang w:eastAsia="en-AU"/>
        </w:rPr>
        <w:t>iability of ADEs</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As indicated above, all submissions were received before the KPMG report was provided by </w:t>
      </w:r>
      <w:r>
        <w:rPr>
          <w:color w:val="auto"/>
          <w:szCs w:val="24"/>
          <w:lang w:eastAsia="en-AU"/>
        </w:rPr>
        <w:t>the NDS</w:t>
      </w:r>
      <w:r w:rsidRPr="004D1483">
        <w:rPr>
          <w:color w:val="auto"/>
          <w:szCs w:val="24"/>
          <w:lang w:eastAsia="en-AU"/>
        </w:rPr>
        <w:t xml:space="preserve">. Although the Commission posted the report on its website and invited further submissions, no submissions were received. </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The Applicants claim that transition from BSWAT has increased financial pressure on ADEs for the following reasons:</w:t>
      </w:r>
    </w:p>
    <w:p w:rsidR="00E320AE" w:rsidRPr="004D1483" w:rsidRDefault="00E320AE" w:rsidP="00E320AE">
      <w:pPr>
        <w:pStyle w:val="SubmissionNormal"/>
        <w:numPr>
          <w:ilvl w:val="1"/>
          <w:numId w:val="35"/>
        </w:numPr>
        <w:rPr>
          <w:color w:val="auto"/>
          <w:szCs w:val="24"/>
          <w:lang w:eastAsia="en-AU"/>
        </w:rPr>
      </w:pPr>
      <w:r>
        <w:rPr>
          <w:color w:val="auto"/>
          <w:szCs w:val="24"/>
          <w:lang w:eastAsia="en-AU"/>
        </w:rPr>
        <w:t>N</w:t>
      </w:r>
      <w:r w:rsidRPr="004D1483">
        <w:rPr>
          <w:color w:val="auto"/>
          <w:szCs w:val="24"/>
          <w:lang w:eastAsia="en-AU"/>
        </w:rPr>
        <w:t xml:space="preserve">ew assessments with </w:t>
      </w:r>
      <w:r>
        <w:rPr>
          <w:color w:val="auto"/>
          <w:szCs w:val="24"/>
          <w:lang w:eastAsia="en-AU"/>
        </w:rPr>
        <w:t>alternative</w:t>
      </w:r>
      <w:r w:rsidRPr="004D1483">
        <w:rPr>
          <w:color w:val="auto"/>
          <w:szCs w:val="24"/>
          <w:lang w:eastAsia="en-AU"/>
        </w:rPr>
        <w:t xml:space="preserve"> tools have increased wages payable by ADEs. On the evidence available, these figures </w:t>
      </w:r>
      <w:r>
        <w:rPr>
          <w:color w:val="auto"/>
          <w:szCs w:val="24"/>
          <w:lang w:eastAsia="en-AU"/>
        </w:rPr>
        <w:t xml:space="preserve">may </w:t>
      </w:r>
      <w:r w:rsidRPr="004D1483">
        <w:rPr>
          <w:color w:val="auto"/>
          <w:szCs w:val="24"/>
          <w:lang w:eastAsia="en-AU"/>
        </w:rPr>
        <w:t>range from 20</w:t>
      </w:r>
      <w:r>
        <w:rPr>
          <w:color w:val="auto"/>
          <w:szCs w:val="24"/>
          <w:lang w:eastAsia="en-AU"/>
        </w:rPr>
        <w:t>-</w:t>
      </w:r>
      <w:r w:rsidRPr="004D1483">
        <w:rPr>
          <w:color w:val="auto"/>
          <w:szCs w:val="24"/>
          <w:lang w:eastAsia="en-AU"/>
        </w:rPr>
        <w:t>30%.</w:t>
      </w:r>
    </w:p>
    <w:p w:rsidR="00E320AE" w:rsidRPr="004D1483" w:rsidRDefault="00E320AE" w:rsidP="00E320AE">
      <w:pPr>
        <w:pStyle w:val="SubmissionNormal"/>
        <w:numPr>
          <w:ilvl w:val="1"/>
          <w:numId w:val="35"/>
        </w:numPr>
        <w:rPr>
          <w:color w:val="auto"/>
          <w:szCs w:val="24"/>
          <w:lang w:eastAsia="en-AU"/>
        </w:rPr>
      </w:pPr>
      <w:r>
        <w:rPr>
          <w:color w:val="auto"/>
          <w:szCs w:val="24"/>
          <w:lang w:eastAsia="en-AU"/>
        </w:rPr>
        <w:t>C</w:t>
      </w:r>
      <w:r w:rsidRPr="004D1483">
        <w:rPr>
          <w:color w:val="auto"/>
          <w:szCs w:val="24"/>
          <w:lang w:eastAsia="en-AU"/>
        </w:rPr>
        <w:t>osts of adoption of a new tool including:</w:t>
      </w:r>
    </w:p>
    <w:p w:rsidR="00E320AE" w:rsidRPr="004D1483" w:rsidRDefault="00E320AE" w:rsidP="00E320AE">
      <w:pPr>
        <w:pStyle w:val="SubmissionNormal"/>
        <w:numPr>
          <w:ilvl w:val="2"/>
          <w:numId w:val="35"/>
        </w:numPr>
        <w:rPr>
          <w:color w:val="auto"/>
          <w:szCs w:val="24"/>
          <w:lang w:eastAsia="en-AU"/>
        </w:rPr>
      </w:pPr>
      <w:r w:rsidRPr="004D1483">
        <w:rPr>
          <w:color w:val="auto"/>
          <w:szCs w:val="24"/>
          <w:lang w:eastAsia="en-AU"/>
        </w:rPr>
        <w:t>the cost of purchasing the new tool</w:t>
      </w:r>
      <w:r>
        <w:rPr>
          <w:color w:val="auto"/>
          <w:szCs w:val="24"/>
          <w:lang w:eastAsia="en-AU"/>
        </w:rPr>
        <w:t>,</w:t>
      </w:r>
    </w:p>
    <w:p w:rsidR="00E320AE" w:rsidRPr="004D1483" w:rsidRDefault="00E320AE" w:rsidP="00E320AE">
      <w:pPr>
        <w:pStyle w:val="SubmissionNormal"/>
        <w:numPr>
          <w:ilvl w:val="2"/>
          <w:numId w:val="35"/>
        </w:numPr>
        <w:rPr>
          <w:color w:val="auto"/>
          <w:szCs w:val="24"/>
          <w:lang w:eastAsia="en-AU"/>
        </w:rPr>
      </w:pPr>
      <w:r w:rsidRPr="004D1483">
        <w:rPr>
          <w:color w:val="auto"/>
          <w:szCs w:val="24"/>
          <w:lang w:eastAsia="en-AU"/>
        </w:rPr>
        <w:t>adaptation of their information management systems</w:t>
      </w:r>
      <w:r>
        <w:rPr>
          <w:color w:val="auto"/>
          <w:szCs w:val="24"/>
          <w:lang w:eastAsia="en-AU"/>
        </w:rPr>
        <w:t>,</w:t>
      </w:r>
    </w:p>
    <w:p w:rsidR="00E320AE" w:rsidRPr="004D1483" w:rsidRDefault="00E320AE" w:rsidP="00E320AE">
      <w:pPr>
        <w:pStyle w:val="SubmissionNormal"/>
        <w:numPr>
          <w:ilvl w:val="2"/>
          <w:numId w:val="35"/>
        </w:numPr>
        <w:rPr>
          <w:color w:val="auto"/>
          <w:szCs w:val="24"/>
          <w:lang w:eastAsia="en-AU"/>
        </w:rPr>
      </w:pPr>
      <w:r w:rsidRPr="004D1483">
        <w:rPr>
          <w:color w:val="auto"/>
          <w:szCs w:val="24"/>
          <w:lang w:eastAsia="en-AU"/>
        </w:rPr>
        <w:t>training of staff in use of the new tool</w:t>
      </w:r>
      <w:r>
        <w:rPr>
          <w:color w:val="auto"/>
          <w:szCs w:val="24"/>
          <w:lang w:eastAsia="en-AU"/>
        </w:rPr>
        <w:t>, and</w:t>
      </w:r>
    </w:p>
    <w:p w:rsidR="00E320AE" w:rsidRPr="004D1483" w:rsidRDefault="00E320AE" w:rsidP="00E320AE">
      <w:pPr>
        <w:pStyle w:val="SubmissionNormal"/>
        <w:numPr>
          <w:ilvl w:val="2"/>
          <w:numId w:val="35"/>
        </w:numPr>
        <w:rPr>
          <w:color w:val="auto"/>
          <w:szCs w:val="24"/>
          <w:lang w:eastAsia="en-AU"/>
        </w:rPr>
      </w:pPr>
      <w:r w:rsidRPr="004D1483">
        <w:rPr>
          <w:color w:val="auto"/>
          <w:szCs w:val="24"/>
          <w:lang w:eastAsia="en-AU"/>
        </w:rPr>
        <w:t>conducting the wage assessments under the new tool</w:t>
      </w:r>
      <w:r>
        <w:rPr>
          <w:color w:val="auto"/>
          <w:szCs w:val="24"/>
          <w:lang w:eastAsia="en-AU"/>
        </w:rPr>
        <w:t>.</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It is not contended by those who oppose the exemption that the transition to a new tool will not lead to increased wage costs for the ADEs. Indeed the purpose of the transition is to ensure fair wages for those that have</w:t>
      </w:r>
      <w:r>
        <w:rPr>
          <w:color w:val="auto"/>
          <w:szCs w:val="24"/>
          <w:lang w:eastAsia="en-AU"/>
        </w:rPr>
        <w:t xml:space="preserve"> been underpaid due to assessments under </w:t>
      </w:r>
      <w:r w:rsidRPr="004D1483">
        <w:rPr>
          <w:color w:val="auto"/>
          <w:szCs w:val="24"/>
          <w:lang w:eastAsia="en-AU"/>
        </w:rPr>
        <w:t xml:space="preserve">BSWAT. </w:t>
      </w:r>
      <w:r>
        <w:rPr>
          <w:color w:val="auto"/>
          <w:szCs w:val="24"/>
          <w:lang w:eastAsia="en-AU"/>
        </w:rPr>
        <w:t>Rather, those that oppose t</w:t>
      </w:r>
      <w:r w:rsidRPr="004D1483">
        <w:rPr>
          <w:color w:val="auto"/>
          <w:szCs w:val="24"/>
          <w:lang w:eastAsia="en-AU"/>
        </w:rPr>
        <w:t xml:space="preserve">he </w:t>
      </w:r>
      <w:r>
        <w:rPr>
          <w:color w:val="auto"/>
          <w:szCs w:val="24"/>
          <w:lang w:eastAsia="en-AU"/>
        </w:rPr>
        <w:t>exemption submit</w:t>
      </w:r>
      <w:r w:rsidRPr="004D1483">
        <w:rPr>
          <w:color w:val="auto"/>
          <w:szCs w:val="24"/>
          <w:lang w:eastAsia="en-AU"/>
        </w:rPr>
        <w:t xml:space="preserve"> that:</w:t>
      </w:r>
    </w:p>
    <w:p w:rsidR="00E320AE" w:rsidRPr="004D1483" w:rsidRDefault="00E320AE" w:rsidP="00E320AE">
      <w:pPr>
        <w:pStyle w:val="SubmissionNormal"/>
        <w:numPr>
          <w:ilvl w:val="1"/>
          <w:numId w:val="35"/>
        </w:numPr>
        <w:rPr>
          <w:color w:val="auto"/>
          <w:szCs w:val="24"/>
          <w:lang w:eastAsia="en-AU"/>
        </w:rPr>
      </w:pPr>
      <w:r w:rsidRPr="004D1483">
        <w:rPr>
          <w:color w:val="auto"/>
          <w:szCs w:val="24"/>
          <w:lang w:eastAsia="en-AU"/>
        </w:rPr>
        <w:lastRenderedPageBreak/>
        <w:t>There is no evidence to substantiate the assertions made by the Commonwealth and some ADEs that non-discriminatory wage setting would threaten the viability of ADEs;</w:t>
      </w:r>
    </w:p>
    <w:p w:rsidR="00E320AE" w:rsidRPr="004D1483" w:rsidRDefault="00E320AE" w:rsidP="00E320AE">
      <w:pPr>
        <w:pStyle w:val="SubmissionNormal"/>
        <w:numPr>
          <w:ilvl w:val="1"/>
          <w:numId w:val="35"/>
        </w:numPr>
        <w:rPr>
          <w:color w:val="auto"/>
          <w:szCs w:val="24"/>
          <w:lang w:eastAsia="en-AU"/>
        </w:rPr>
      </w:pPr>
      <w:r>
        <w:rPr>
          <w:color w:val="auto"/>
          <w:szCs w:val="24"/>
          <w:lang w:eastAsia="en-AU"/>
        </w:rPr>
        <w:t>There are</w:t>
      </w:r>
      <w:r w:rsidRPr="004D1483">
        <w:rPr>
          <w:color w:val="auto"/>
          <w:szCs w:val="24"/>
          <w:lang w:eastAsia="en-AU"/>
        </w:rPr>
        <w:t xml:space="preserve"> sufficient resources to assist with any reforms and transition to a non-discriminatory wage assessment tool;</w:t>
      </w:r>
    </w:p>
    <w:p w:rsidR="00E320AE" w:rsidRPr="004D1483" w:rsidRDefault="00E320AE" w:rsidP="00E320AE">
      <w:pPr>
        <w:pStyle w:val="SubmissionNormal"/>
        <w:numPr>
          <w:ilvl w:val="1"/>
          <w:numId w:val="35"/>
        </w:numPr>
        <w:rPr>
          <w:color w:val="auto"/>
          <w:szCs w:val="24"/>
          <w:lang w:eastAsia="en-AU"/>
        </w:rPr>
      </w:pPr>
      <w:r w:rsidRPr="004D1483">
        <w:rPr>
          <w:color w:val="auto"/>
          <w:szCs w:val="24"/>
          <w:lang w:eastAsia="en-AU"/>
        </w:rPr>
        <w:t>Financial viability should not come at the cost</w:t>
      </w:r>
      <w:r>
        <w:rPr>
          <w:color w:val="auto"/>
          <w:szCs w:val="24"/>
          <w:lang w:eastAsia="en-AU"/>
        </w:rPr>
        <w:t xml:space="preserve"> of unfair/discriminatory wages.</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The </w:t>
      </w:r>
      <w:r>
        <w:rPr>
          <w:color w:val="auto"/>
          <w:szCs w:val="24"/>
          <w:lang w:eastAsia="en-AU"/>
        </w:rPr>
        <w:t xml:space="preserve">KPMG </w:t>
      </w:r>
      <w:r w:rsidRPr="004D1483">
        <w:rPr>
          <w:color w:val="auto"/>
          <w:szCs w:val="24"/>
          <w:lang w:eastAsia="en-AU"/>
        </w:rPr>
        <w:t>report</w:t>
      </w:r>
      <w:r>
        <w:rPr>
          <w:color w:val="auto"/>
          <w:szCs w:val="24"/>
          <w:lang w:eastAsia="en-AU"/>
        </w:rPr>
        <w:t>,</w:t>
      </w:r>
      <w:r w:rsidRPr="004D1483">
        <w:rPr>
          <w:color w:val="auto"/>
          <w:szCs w:val="24"/>
          <w:lang w:eastAsia="en-AU"/>
        </w:rPr>
        <w:t xml:space="preserve"> </w:t>
      </w:r>
      <w:r>
        <w:rPr>
          <w:color w:val="auto"/>
          <w:szCs w:val="24"/>
          <w:lang w:eastAsia="en-AU"/>
        </w:rPr>
        <w:t xml:space="preserve">prepared at the request of the NDS, </w:t>
      </w:r>
      <w:r w:rsidRPr="004D1483">
        <w:rPr>
          <w:color w:val="auto"/>
          <w:szCs w:val="24"/>
          <w:lang w:eastAsia="en-AU"/>
        </w:rPr>
        <w:t>uses a range of scenarios to test the impact of a range of increases in supported employee wage costs on ADE</w:t>
      </w:r>
      <w:r>
        <w:rPr>
          <w:color w:val="auto"/>
          <w:szCs w:val="24"/>
          <w:lang w:eastAsia="en-AU"/>
        </w:rPr>
        <w:t>’</w:t>
      </w:r>
      <w:r w:rsidRPr="004D1483">
        <w:rPr>
          <w:color w:val="auto"/>
          <w:szCs w:val="24"/>
          <w:lang w:eastAsia="en-AU"/>
        </w:rPr>
        <w:t xml:space="preserve">s profitability and viability. </w:t>
      </w:r>
      <w:r>
        <w:rPr>
          <w:color w:val="auto"/>
          <w:szCs w:val="24"/>
          <w:lang w:eastAsia="en-AU"/>
        </w:rPr>
        <w:t>The report does not examine the actual wage increases that arise from the transition, but assumes a wage increase of varying levels and uses those levels for the different scenarios. The report</w:t>
      </w:r>
      <w:r w:rsidRPr="004D1483">
        <w:rPr>
          <w:color w:val="auto"/>
          <w:szCs w:val="24"/>
          <w:lang w:eastAsia="en-AU"/>
        </w:rPr>
        <w:t xml:space="preserve"> concluded the following:</w:t>
      </w:r>
    </w:p>
    <w:p w:rsidR="00E320AE" w:rsidRPr="008A4CCB" w:rsidRDefault="00E320AE" w:rsidP="00E320AE">
      <w:pPr>
        <w:pStyle w:val="SubmissionNormal"/>
        <w:tabs>
          <w:tab w:val="clear" w:pos="720"/>
        </w:tabs>
        <w:ind w:left="1440"/>
        <w:rPr>
          <w:color w:val="auto"/>
          <w:sz w:val="22"/>
          <w:szCs w:val="22"/>
          <w:lang w:eastAsia="en-AU"/>
        </w:rPr>
      </w:pPr>
      <w:r w:rsidRPr="008A4CCB">
        <w:rPr>
          <w:color w:val="auto"/>
          <w:sz w:val="22"/>
          <w:szCs w:val="22"/>
          <w:lang w:eastAsia="en-AU"/>
        </w:rPr>
        <w:t>It is evident that the majority of ADE providers are currently reporting losses and increases in supported employee wages would likely have a significant impact on the profitability of such organisations. Average supported employee wage costs have increased over recent years and this trend may be expected to continue as provider’s transition from the BSWAT assessment tool to other wage assessment tools.</w:t>
      </w:r>
    </w:p>
    <w:p w:rsidR="00E320AE" w:rsidRPr="008A4CCB" w:rsidRDefault="00E320AE" w:rsidP="00E320AE">
      <w:pPr>
        <w:pStyle w:val="SubmissionNormal"/>
        <w:tabs>
          <w:tab w:val="clear" w:pos="720"/>
        </w:tabs>
        <w:ind w:left="1440"/>
        <w:rPr>
          <w:color w:val="auto"/>
          <w:sz w:val="22"/>
          <w:szCs w:val="22"/>
          <w:lang w:eastAsia="en-AU"/>
        </w:rPr>
      </w:pPr>
      <w:r w:rsidRPr="008A4CCB">
        <w:rPr>
          <w:color w:val="auto"/>
          <w:sz w:val="22"/>
          <w:szCs w:val="22"/>
          <w:lang w:eastAsia="en-AU"/>
        </w:rPr>
        <w:t xml:space="preserve">There is a direct relationship between supported employee wage costs and organisational profitability and with increased wage costs being likely in the future, ADE providers will need to successfully manage this by examining aspects of their business models, including examining their costs and cost structures to improve efficiency (costs of support and supervision, and costs of production) and examining their revenue sources and pricing of the goods and services they provide with a view to maximising revenues from a range of different sources. Broader examination of the profitability and sustainability of the suite of goods and service they offer to market may also be necessary with a view to moving to higher value and more sophisticated production. Any changes resulting from this examination may have implications for employment of people with disability, including the types of jobs that may be available, and the level of employment ADEs are able to offer. </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In relation to wage pressure the report specifically found:</w:t>
      </w:r>
    </w:p>
    <w:p w:rsidR="00E320AE" w:rsidRPr="008A4CCB" w:rsidRDefault="00E320AE" w:rsidP="00E320AE">
      <w:pPr>
        <w:pStyle w:val="SubmissionNormal"/>
        <w:tabs>
          <w:tab w:val="clear" w:pos="720"/>
        </w:tabs>
        <w:ind w:left="1440"/>
        <w:rPr>
          <w:color w:val="auto"/>
          <w:sz w:val="22"/>
          <w:szCs w:val="22"/>
          <w:lang w:eastAsia="en-AU"/>
        </w:rPr>
      </w:pPr>
      <w:r w:rsidRPr="008A4CCB">
        <w:rPr>
          <w:color w:val="auto"/>
          <w:sz w:val="22"/>
          <w:szCs w:val="22"/>
          <w:lang w:eastAsia="en-AU"/>
        </w:rPr>
        <w:t>In the event of a 20 per cent increase or by doubling supported employee wage costs:</w:t>
      </w:r>
    </w:p>
    <w:p w:rsidR="00E320AE" w:rsidRPr="008A4CCB" w:rsidRDefault="00E320AE" w:rsidP="00E320AE">
      <w:pPr>
        <w:pStyle w:val="SubmissionNormal"/>
        <w:numPr>
          <w:ilvl w:val="0"/>
          <w:numId w:val="16"/>
        </w:numPr>
        <w:rPr>
          <w:color w:val="auto"/>
          <w:sz w:val="22"/>
          <w:szCs w:val="22"/>
          <w:lang w:eastAsia="en-AU"/>
        </w:rPr>
      </w:pPr>
      <w:r w:rsidRPr="008A4CCB">
        <w:rPr>
          <w:color w:val="auto"/>
          <w:sz w:val="22"/>
          <w:szCs w:val="22"/>
          <w:lang w:eastAsia="en-AU"/>
        </w:rPr>
        <w:t>Total supported employee wage costs would increase from$74.96m to $89.25m for a 20 per cent increase and to$146.42m in the event of doubling supported employee wages</w:t>
      </w:r>
    </w:p>
    <w:p w:rsidR="00E320AE" w:rsidRPr="008A4CCB" w:rsidRDefault="00E320AE" w:rsidP="00E320AE">
      <w:pPr>
        <w:pStyle w:val="SubmissionNormal"/>
        <w:numPr>
          <w:ilvl w:val="0"/>
          <w:numId w:val="16"/>
        </w:numPr>
        <w:rPr>
          <w:color w:val="auto"/>
          <w:sz w:val="22"/>
          <w:szCs w:val="22"/>
          <w:lang w:eastAsia="en-AU"/>
        </w:rPr>
      </w:pPr>
      <w:r w:rsidRPr="008A4CCB">
        <w:rPr>
          <w:color w:val="auto"/>
          <w:sz w:val="22"/>
          <w:szCs w:val="22"/>
          <w:lang w:eastAsia="en-AU"/>
        </w:rPr>
        <w:t>The average loss per organisation would increase from $20.0k to $188.1k for a 20 per cent supported wage increase and to $860.7k by doubling wage costs</w:t>
      </w:r>
    </w:p>
    <w:p w:rsidR="00E320AE" w:rsidRPr="008A4CCB" w:rsidRDefault="00E320AE" w:rsidP="00E320AE">
      <w:pPr>
        <w:pStyle w:val="SubmissionNormal"/>
        <w:numPr>
          <w:ilvl w:val="0"/>
          <w:numId w:val="16"/>
        </w:numPr>
        <w:rPr>
          <w:color w:val="auto"/>
          <w:sz w:val="22"/>
          <w:szCs w:val="22"/>
          <w:lang w:eastAsia="en-AU"/>
        </w:rPr>
      </w:pPr>
      <w:r w:rsidRPr="008A4CCB">
        <w:rPr>
          <w:color w:val="auto"/>
          <w:sz w:val="22"/>
          <w:szCs w:val="22"/>
          <w:lang w:eastAsia="en-AU"/>
        </w:rPr>
        <w:t>The number of loss making organisations would increase from 56 per cent to 74 per cent for a 20 percent increase and up to 93 per cent in the event of a doubling of wages</w:t>
      </w:r>
    </w:p>
    <w:p w:rsidR="00E320AE" w:rsidRPr="008A4CCB" w:rsidRDefault="00E320AE" w:rsidP="00E320AE">
      <w:pPr>
        <w:pStyle w:val="SubmissionNormal"/>
        <w:numPr>
          <w:ilvl w:val="0"/>
          <w:numId w:val="16"/>
        </w:numPr>
        <w:rPr>
          <w:color w:val="auto"/>
          <w:sz w:val="22"/>
          <w:szCs w:val="22"/>
          <w:lang w:eastAsia="en-AU"/>
        </w:rPr>
      </w:pPr>
      <w:r w:rsidRPr="008A4CCB">
        <w:rPr>
          <w:color w:val="auto"/>
          <w:sz w:val="22"/>
          <w:szCs w:val="22"/>
          <w:lang w:eastAsia="en-AU"/>
        </w:rPr>
        <w:lastRenderedPageBreak/>
        <w:t>The ADE providers average loss per supported employee would also increase considerably in the event of doubling supported employee wages</w:t>
      </w:r>
    </w:p>
    <w:p w:rsidR="00E320AE" w:rsidRPr="004D1483" w:rsidRDefault="00E320AE" w:rsidP="00E320AE">
      <w:pPr>
        <w:pStyle w:val="SubmissionNormal"/>
        <w:numPr>
          <w:ilvl w:val="0"/>
          <w:numId w:val="16"/>
        </w:numPr>
        <w:rPr>
          <w:color w:val="auto"/>
          <w:szCs w:val="24"/>
          <w:lang w:eastAsia="en-AU"/>
        </w:rPr>
      </w:pPr>
      <w:r w:rsidRPr="008A4CCB">
        <w:rPr>
          <w:color w:val="auto"/>
          <w:sz w:val="22"/>
          <w:szCs w:val="22"/>
          <w:lang w:eastAsia="en-AU"/>
        </w:rPr>
        <w:t>The number of employees in loss making organisations would increase from 41 per cent to 77 per cent for a 20 per cent increase in supported wage costs and up to 97 per cent if supported wages doubled</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The Commission is satisfied that increased wages are </w:t>
      </w:r>
      <w:r>
        <w:rPr>
          <w:color w:val="auto"/>
          <w:szCs w:val="24"/>
          <w:lang w:eastAsia="en-AU"/>
        </w:rPr>
        <w:t>likely to impact on</w:t>
      </w:r>
      <w:r w:rsidRPr="004D1483">
        <w:rPr>
          <w:color w:val="auto"/>
          <w:szCs w:val="24"/>
          <w:lang w:eastAsia="en-AU"/>
        </w:rPr>
        <w:t xml:space="preserve"> the financial viability of the ADEs and that a 20% </w:t>
      </w:r>
      <w:r>
        <w:rPr>
          <w:color w:val="auto"/>
          <w:szCs w:val="24"/>
          <w:lang w:eastAsia="en-AU"/>
        </w:rPr>
        <w:t xml:space="preserve">wage </w:t>
      </w:r>
      <w:r w:rsidRPr="004D1483">
        <w:rPr>
          <w:color w:val="auto"/>
          <w:szCs w:val="24"/>
          <w:lang w:eastAsia="en-AU"/>
        </w:rPr>
        <w:t>increase will:</w:t>
      </w:r>
    </w:p>
    <w:p w:rsidR="00E320AE" w:rsidRPr="004D1483" w:rsidRDefault="00E320AE" w:rsidP="00E320AE">
      <w:pPr>
        <w:pStyle w:val="SubmissionNormal"/>
        <w:numPr>
          <w:ilvl w:val="1"/>
          <w:numId w:val="35"/>
        </w:numPr>
        <w:rPr>
          <w:color w:val="auto"/>
          <w:szCs w:val="24"/>
          <w:lang w:eastAsia="en-AU"/>
        </w:rPr>
      </w:pPr>
      <w:r w:rsidRPr="004D1483">
        <w:rPr>
          <w:color w:val="auto"/>
          <w:szCs w:val="24"/>
          <w:lang w:eastAsia="en-AU"/>
        </w:rPr>
        <w:t>increase the number of ADEs making a loss to 74%</w:t>
      </w:r>
      <w:r>
        <w:rPr>
          <w:color w:val="auto"/>
          <w:szCs w:val="24"/>
          <w:lang w:eastAsia="en-AU"/>
        </w:rPr>
        <w:t>,</w:t>
      </w:r>
    </w:p>
    <w:p w:rsidR="00E320AE" w:rsidRPr="004D1483" w:rsidRDefault="00E320AE" w:rsidP="00E320AE">
      <w:pPr>
        <w:pStyle w:val="SubmissionNormal"/>
        <w:numPr>
          <w:ilvl w:val="1"/>
          <w:numId w:val="35"/>
        </w:numPr>
        <w:rPr>
          <w:color w:val="auto"/>
          <w:szCs w:val="24"/>
          <w:lang w:eastAsia="en-AU"/>
        </w:rPr>
      </w:pPr>
      <w:r w:rsidRPr="004D1483">
        <w:rPr>
          <w:color w:val="auto"/>
          <w:szCs w:val="24"/>
          <w:lang w:eastAsia="en-AU"/>
        </w:rPr>
        <w:t>increase the number of supported employees wor</w:t>
      </w:r>
      <w:r>
        <w:rPr>
          <w:color w:val="auto"/>
          <w:szCs w:val="24"/>
          <w:lang w:eastAsia="en-AU"/>
        </w:rPr>
        <w:t>king in loss making ADEs to 77%,</w:t>
      </w:r>
    </w:p>
    <w:p w:rsidR="00E320AE" w:rsidRPr="004D1483" w:rsidRDefault="00E320AE" w:rsidP="00E320AE">
      <w:pPr>
        <w:pStyle w:val="SubmissionNormal"/>
        <w:numPr>
          <w:ilvl w:val="1"/>
          <w:numId w:val="35"/>
        </w:numPr>
        <w:rPr>
          <w:color w:val="auto"/>
          <w:szCs w:val="24"/>
          <w:lang w:eastAsia="en-AU"/>
        </w:rPr>
      </w:pPr>
      <w:r w:rsidRPr="004D1483">
        <w:rPr>
          <w:color w:val="auto"/>
          <w:szCs w:val="24"/>
          <w:lang w:eastAsia="en-AU"/>
        </w:rPr>
        <w:t xml:space="preserve">require the ADEs to make the necessary adjustments to their business. </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Those opposing the exemption submit that the Commonwealth has provided funding to assist </w:t>
      </w:r>
      <w:r>
        <w:rPr>
          <w:color w:val="auto"/>
          <w:szCs w:val="24"/>
          <w:lang w:eastAsia="en-AU"/>
        </w:rPr>
        <w:t xml:space="preserve">ADEs </w:t>
      </w:r>
      <w:r w:rsidRPr="004D1483">
        <w:rPr>
          <w:color w:val="auto"/>
          <w:szCs w:val="24"/>
          <w:lang w:eastAsia="en-AU"/>
        </w:rPr>
        <w:t xml:space="preserve">with the increased costs. They point to the announcement by the Commonwealth on 21 August 2014 of the provision of </w:t>
      </w:r>
      <w:r>
        <w:rPr>
          <w:color w:val="auto"/>
          <w:szCs w:val="24"/>
          <w:lang w:eastAsia="en-AU"/>
        </w:rPr>
        <w:t xml:space="preserve">a </w:t>
      </w:r>
      <w:r w:rsidRPr="004D1483">
        <w:rPr>
          <w:color w:val="auto"/>
          <w:szCs w:val="24"/>
          <w:lang w:eastAsia="en-AU"/>
        </w:rPr>
        <w:t xml:space="preserve">$173 million funding package. </w:t>
      </w:r>
    </w:p>
    <w:p w:rsidR="00E320AE" w:rsidRPr="004D1483" w:rsidRDefault="00E320AE" w:rsidP="00E320AE">
      <w:pPr>
        <w:pStyle w:val="SubmissionNormal"/>
        <w:keepNext/>
        <w:numPr>
          <w:ilvl w:val="0"/>
          <w:numId w:val="35"/>
        </w:numPr>
        <w:ind w:left="1094" w:hanging="737"/>
        <w:rPr>
          <w:color w:val="auto"/>
          <w:szCs w:val="24"/>
          <w:lang w:eastAsia="en-AU"/>
        </w:rPr>
      </w:pPr>
      <w:r w:rsidRPr="004D1483">
        <w:rPr>
          <w:color w:val="auto"/>
          <w:szCs w:val="24"/>
          <w:lang w:eastAsia="en-AU"/>
        </w:rPr>
        <w:t xml:space="preserve">On 3 September 2015 the </w:t>
      </w:r>
      <w:r>
        <w:rPr>
          <w:color w:val="auto"/>
          <w:szCs w:val="24"/>
          <w:lang w:eastAsia="en-AU"/>
        </w:rPr>
        <w:t>Commonwealth</w:t>
      </w:r>
      <w:r w:rsidRPr="004D1483">
        <w:rPr>
          <w:color w:val="auto"/>
          <w:szCs w:val="24"/>
          <w:lang w:eastAsia="en-AU"/>
        </w:rPr>
        <w:t xml:space="preserve"> </w:t>
      </w:r>
      <w:r>
        <w:rPr>
          <w:color w:val="auto"/>
          <w:szCs w:val="24"/>
          <w:lang w:eastAsia="en-AU"/>
        </w:rPr>
        <w:t>provided the following further information in relation to the funding package</w:t>
      </w:r>
      <w:r w:rsidRPr="004D1483">
        <w:rPr>
          <w:color w:val="auto"/>
          <w:szCs w:val="24"/>
          <w:lang w:eastAsia="en-AU"/>
        </w:rPr>
        <w:t>:</w:t>
      </w:r>
    </w:p>
    <w:p w:rsidR="00E320AE" w:rsidRPr="008A4CCB" w:rsidRDefault="00E320AE" w:rsidP="00E320AE">
      <w:pPr>
        <w:pStyle w:val="SubmissionNormal"/>
        <w:tabs>
          <w:tab w:val="clear" w:pos="720"/>
        </w:tabs>
        <w:ind w:left="1440"/>
        <w:rPr>
          <w:color w:val="auto"/>
          <w:sz w:val="22"/>
          <w:szCs w:val="22"/>
          <w:lang w:eastAsia="en-AU"/>
        </w:rPr>
      </w:pPr>
      <w:r w:rsidRPr="008A4CCB">
        <w:rPr>
          <w:color w:val="auto"/>
          <w:sz w:val="22"/>
          <w:szCs w:val="22"/>
          <w:lang w:eastAsia="en-AU"/>
        </w:rPr>
        <w:t xml:space="preserve">The $173 million funding package consisted of three components, of which $141 million was set aside for wage supplementation. Wage supplementation will be provided to ADEs moving from a competency-based wage to the Supported Wage System (SWS) to cover wage increases. Once the new wage assessment tool is determined through the Fair Work Commission process, supplementation will be extended to cover this tool as well. </w:t>
      </w:r>
    </w:p>
    <w:p w:rsidR="00E320AE" w:rsidRPr="008A4CCB" w:rsidRDefault="00E320AE" w:rsidP="00E320AE">
      <w:pPr>
        <w:pStyle w:val="SubmissionNormal"/>
        <w:tabs>
          <w:tab w:val="clear" w:pos="720"/>
        </w:tabs>
        <w:ind w:left="1440"/>
        <w:rPr>
          <w:color w:val="auto"/>
          <w:sz w:val="22"/>
          <w:szCs w:val="22"/>
          <w:lang w:eastAsia="en-AU"/>
        </w:rPr>
      </w:pPr>
      <w:r w:rsidRPr="008A4CCB">
        <w:rPr>
          <w:color w:val="auto"/>
          <w:sz w:val="22"/>
          <w:szCs w:val="22"/>
          <w:lang w:eastAsia="en-AU"/>
        </w:rPr>
        <w:t>No wage supplementation has been paid as yet as the implementation approach is still being finalised. Payments are expected to commence before the end of the 2015 calendar year.</w:t>
      </w:r>
    </w:p>
    <w:p w:rsidR="00E320AE" w:rsidRPr="004D1483" w:rsidRDefault="00E320AE" w:rsidP="00E320AE">
      <w:pPr>
        <w:pStyle w:val="SubmissionNormal"/>
        <w:numPr>
          <w:ilvl w:val="0"/>
          <w:numId w:val="35"/>
        </w:numPr>
        <w:ind w:left="1094" w:hanging="737"/>
        <w:rPr>
          <w:color w:val="auto"/>
          <w:szCs w:val="24"/>
          <w:lang w:eastAsia="en-AU"/>
        </w:rPr>
      </w:pPr>
      <w:r>
        <w:rPr>
          <w:color w:val="auto"/>
          <w:szCs w:val="24"/>
          <w:lang w:eastAsia="en-AU"/>
        </w:rPr>
        <w:t>The Commonwealth has advised the Commission that a</w:t>
      </w:r>
      <w:r w:rsidRPr="004D1483">
        <w:rPr>
          <w:color w:val="auto"/>
          <w:szCs w:val="24"/>
          <w:lang w:eastAsia="en-AU"/>
        </w:rPr>
        <w:t xml:space="preserve">t the date of this instrument those payments have </w:t>
      </w:r>
      <w:r>
        <w:rPr>
          <w:color w:val="auto"/>
          <w:szCs w:val="24"/>
          <w:lang w:eastAsia="en-AU"/>
        </w:rPr>
        <w:t xml:space="preserve">not </w:t>
      </w:r>
      <w:r w:rsidRPr="004D1483">
        <w:rPr>
          <w:color w:val="auto"/>
          <w:szCs w:val="24"/>
          <w:lang w:eastAsia="en-AU"/>
        </w:rPr>
        <w:t>comm</w:t>
      </w:r>
      <w:r>
        <w:rPr>
          <w:color w:val="auto"/>
          <w:szCs w:val="24"/>
          <w:lang w:eastAsia="en-AU"/>
        </w:rPr>
        <w:t>enced</w:t>
      </w:r>
      <w:r w:rsidRPr="004D1483">
        <w:rPr>
          <w:color w:val="auto"/>
          <w:szCs w:val="24"/>
          <w:lang w:eastAsia="en-AU"/>
        </w:rPr>
        <w:t>.</w:t>
      </w:r>
    </w:p>
    <w:p w:rsidR="00E320AE" w:rsidRDefault="00E320AE" w:rsidP="00E320AE">
      <w:pPr>
        <w:pStyle w:val="Heading3"/>
        <w:rPr>
          <w:lang w:eastAsia="en-AU"/>
        </w:rPr>
      </w:pPr>
      <w:r w:rsidRPr="004D1483">
        <w:rPr>
          <w:lang w:eastAsia="en-AU"/>
        </w:rPr>
        <w:t xml:space="preserve">Certainty and clarity for </w:t>
      </w:r>
      <w:r>
        <w:rPr>
          <w:lang w:eastAsia="en-AU"/>
        </w:rPr>
        <w:t>supported</w:t>
      </w:r>
      <w:r w:rsidRPr="004D1483">
        <w:rPr>
          <w:lang w:eastAsia="en-AU"/>
        </w:rPr>
        <w:t xml:space="preserve"> employees and </w:t>
      </w:r>
      <w:r>
        <w:rPr>
          <w:lang w:eastAsia="en-AU"/>
        </w:rPr>
        <w:t xml:space="preserve">their </w:t>
      </w:r>
      <w:r w:rsidRPr="004D1483">
        <w:rPr>
          <w:lang w:eastAsia="en-AU"/>
        </w:rPr>
        <w:t>family and carers.</w:t>
      </w:r>
    </w:p>
    <w:p w:rsidR="00E320AE"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The Commission </w:t>
      </w:r>
      <w:r>
        <w:rPr>
          <w:color w:val="auto"/>
          <w:szCs w:val="24"/>
          <w:lang w:eastAsia="en-AU"/>
        </w:rPr>
        <w:t>notes</w:t>
      </w:r>
      <w:r w:rsidRPr="004D1483">
        <w:rPr>
          <w:color w:val="auto"/>
          <w:szCs w:val="24"/>
          <w:lang w:eastAsia="en-AU"/>
        </w:rPr>
        <w:t xml:space="preserve"> the submissions, made by some parents of children who are </w:t>
      </w:r>
      <w:r>
        <w:rPr>
          <w:color w:val="auto"/>
          <w:szCs w:val="24"/>
          <w:lang w:eastAsia="en-AU"/>
        </w:rPr>
        <w:t>supported employees</w:t>
      </w:r>
      <w:r w:rsidRPr="004D1483">
        <w:rPr>
          <w:color w:val="auto"/>
          <w:szCs w:val="24"/>
          <w:lang w:eastAsia="en-AU"/>
        </w:rPr>
        <w:t xml:space="preserve"> that the payment of a fair wage is of less importance to them and their children than the ancillary benefits of that employment. These benefits include emotional and psychological wellbeing, training and development, development of soc</w:t>
      </w:r>
      <w:r>
        <w:rPr>
          <w:color w:val="auto"/>
          <w:szCs w:val="24"/>
          <w:lang w:eastAsia="en-AU"/>
        </w:rPr>
        <w:t>ial skills, care, accommodation and</w:t>
      </w:r>
      <w:r w:rsidRPr="004D1483">
        <w:rPr>
          <w:color w:val="auto"/>
          <w:szCs w:val="24"/>
          <w:lang w:eastAsia="en-AU"/>
        </w:rPr>
        <w:t xml:space="preserve"> respite for the parents. </w:t>
      </w:r>
    </w:p>
    <w:p w:rsidR="00E320AE" w:rsidRDefault="00E320AE" w:rsidP="00E320AE">
      <w:pPr>
        <w:pStyle w:val="SubmissionNormal"/>
        <w:numPr>
          <w:ilvl w:val="0"/>
          <w:numId w:val="35"/>
        </w:numPr>
        <w:ind w:left="1094" w:hanging="737"/>
        <w:rPr>
          <w:color w:val="auto"/>
          <w:szCs w:val="24"/>
          <w:lang w:eastAsia="en-AU"/>
        </w:rPr>
      </w:pPr>
      <w:r w:rsidRPr="00756547">
        <w:rPr>
          <w:color w:val="auto"/>
          <w:szCs w:val="24"/>
          <w:lang w:eastAsia="en-AU"/>
        </w:rPr>
        <w:t xml:space="preserve">All submissions in favour of the exemption believe the increased costs arising from transition to an alternative tool will </w:t>
      </w:r>
      <w:r>
        <w:rPr>
          <w:color w:val="auto"/>
          <w:szCs w:val="24"/>
          <w:lang w:eastAsia="en-AU"/>
        </w:rPr>
        <w:t>risk</w:t>
      </w:r>
      <w:r w:rsidRPr="00756547">
        <w:rPr>
          <w:color w:val="auto"/>
          <w:szCs w:val="24"/>
          <w:lang w:eastAsia="en-AU"/>
        </w:rPr>
        <w:t xml:space="preserve"> the closure of ADEs and/or the loss of employment services provided by ADEs with consequent loss of those services for their children. Two of the submissions drew on personal experience as a past board member of an ADE and the current Acting Chief Operating Officer of an ADE.</w:t>
      </w:r>
      <w:r>
        <w:rPr>
          <w:color w:val="auto"/>
          <w:szCs w:val="24"/>
          <w:lang w:eastAsia="en-AU"/>
        </w:rPr>
        <w:t xml:space="preserve"> These views are supported by </w:t>
      </w:r>
      <w:r>
        <w:rPr>
          <w:color w:val="auto"/>
          <w:szCs w:val="24"/>
          <w:lang w:eastAsia="en-AU"/>
        </w:rPr>
        <w:lastRenderedPageBreak/>
        <w:t>the evidence from the NDS and the report from KPMG. The KPMG report suggests that with a 20% increase in wages, 74% of AEDs will be operating at a loss, without changes to their businesses. The report also notes that any changes made to deal with the increased costs:</w:t>
      </w:r>
    </w:p>
    <w:p w:rsidR="00E320AE" w:rsidRPr="00756547" w:rsidRDefault="00E320AE" w:rsidP="00E320AE">
      <w:pPr>
        <w:pStyle w:val="SubmissionNormal"/>
        <w:tabs>
          <w:tab w:val="clear" w:pos="720"/>
        </w:tabs>
        <w:ind w:left="1440"/>
        <w:rPr>
          <w:color w:val="auto"/>
          <w:szCs w:val="24"/>
          <w:lang w:eastAsia="en-AU"/>
        </w:rPr>
      </w:pPr>
      <w:r w:rsidRPr="008A4CCB">
        <w:rPr>
          <w:color w:val="auto"/>
          <w:sz w:val="22"/>
          <w:szCs w:val="22"/>
          <w:lang w:eastAsia="en-AU"/>
        </w:rPr>
        <w:t>may have implications for employment of people with disability, including the types of jobs that may be available, and the level of employment ADEs are able to offer</w:t>
      </w:r>
      <w:r>
        <w:rPr>
          <w:color w:val="auto"/>
          <w:sz w:val="22"/>
          <w:szCs w:val="22"/>
          <w:lang w:eastAsia="en-AU"/>
        </w:rPr>
        <w:t>.</w:t>
      </w:r>
    </w:p>
    <w:p w:rsidR="00E320AE" w:rsidRPr="00756547" w:rsidRDefault="00E320AE" w:rsidP="00E320AE">
      <w:pPr>
        <w:pStyle w:val="SubmissionNormal"/>
        <w:numPr>
          <w:ilvl w:val="0"/>
          <w:numId w:val="35"/>
        </w:numPr>
        <w:ind w:left="1094" w:hanging="737"/>
        <w:rPr>
          <w:color w:val="auto"/>
          <w:szCs w:val="24"/>
          <w:lang w:eastAsia="en-AU"/>
        </w:rPr>
      </w:pPr>
      <w:r w:rsidRPr="00756547">
        <w:rPr>
          <w:color w:val="auto"/>
          <w:szCs w:val="24"/>
          <w:lang w:eastAsia="en-AU"/>
        </w:rPr>
        <w:t>One submission notes that reduction in these services will mean thousands of older parents will not be able to provide the care they currently do.</w:t>
      </w:r>
    </w:p>
    <w:p w:rsidR="00E320AE" w:rsidRPr="00756547" w:rsidRDefault="00E320AE" w:rsidP="00E320AE">
      <w:pPr>
        <w:pStyle w:val="SubmissionNormal"/>
        <w:numPr>
          <w:ilvl w:val="0"/>
          <w:numId w:val="35"/>
        </w:numPr>
        <w:ind w:left="1094" w:hanging="737"/>
        <w:rPr>
          <w:color w:val="auto"/>
          <w:szCs w:val="24"/>
          <w:lang w:eastAsia="en-AU"/>
        </w:rPr>
      </w:pPr>
      <w:r w:rsidRPr="00756547">
        <w:rPr>
          <w:color w:val="auto"/>
          <w:szCs w:val="24"/>
          <w:lang w:eastAsia="en-AU"/>
        </w:rPr>
        <w:t xml:space="preserve">Many believe the cost of providing alternative services to their children will be significantly more than the cost of providing those employment services and that they or their children will be forced to pay for those services. </w:t>
      </w:r>
    </w:p>
    <w:p w:rsidR="00E320AE" w:rsidRDefault="00E320AE" w:rsidP="00E320AE">
      <w:pPr>
        <w:pStyle w:val="SubmissionNormal"/>
        <w:numPr>
          <w:ilvl w:val="0"/>
          <w:numId w:val="35"/>
        </w:numPr>
        <w:ind w:left="1094" w:hanging="737"/>
        <w:rPr>
          <w:color w:val="auto"/>
          <w:szCs w:val="24"/>
          <w:lang w:eastAsia="en-AU"/>
        </w:rPr>
      </w:pPr>
      <w:r>
        <w:rPr>
          <w:color w:val="auto"/>
          <w:szCs w:val="24"/>
          <w:lang w:eastAsia="en-AU"/>
        </w:rPr>
        <w:t xml:space="preserve">As indicated above, the Commission accepts that the transition from BSWAT to an alternative tool has likely had and will continue to have a significant impact on the financial viability of ADEs. The Commission notes that the Commonwealth has taken some steps to ensure wage supplementation is available to the ADEs so they may continue with their services. As at the date of this instrument, the funding had not been distributed. In these circumstances the concerns of the parents in relation to the possible closure of ADEs and/or loss of services is reasonable and accepted. </w:t>
      </w:r>
    </w:p>
    <w:p w:rsidR="00E320AE" w:rsidRPr="004D1483" w:rsidRDefault="00E320AE" w:rsidP="00E320AE">
      <w:pPr>
        <w:pStyle w:val="Heading1"/>
        <w:rPr>
          <w:lang w:eastAsia="en-AU"/>
        </w:rPr>
      </w:pPr>
      <w:r w:rsidRPr="004D1483">
        <w:rPr>
          <w:lang w:eastAsia="en-AU"/>
        </w:rPr>
        <w:t xml:space="preserve">Conclusion </w:t>
      </w:r>
    </w:p>
    <w:p w:rsidR="00E320AE" w:rsidRDefault="00E320AE" w:rsidP="00E320AE">
      <w:pPr>
        <w:pStyle w:val="SubmissionNormal"/>
        <w:numPr>
          <w:ilvl w:val="0"/>
          <w:numId w:val="35"/>
        </w:numPr>
        <w:ind w:left="1094" w:hanging="737"/>
        <w:rPr>
          <w:color w:val="auto"/>
          <w:szCs w:val="24"/>
          <w:lang w:eastAsia="en-AU"/>
        </w:rPr>
      </w:pPr>
      <w:r>
        <w:rPr>
          <w:color w:val="auto"/>
          <w:szCs w:val="24"/>
          <w:lang w:eastAsia="en-AU"/>
        </w:rPr>
        <w:t>On balance the Commission considers it is reasonable to grant an exemption for a short period, subject to conditions, to reflect the terms of the Fair Work Commission’s transitional provisions.</w:t>
      </w:r>
    </w:p>
    <w:p w:rsidR="00E320AE" w:rsidRPr="00721373" w:rsidRDefault="00E320AE" w:rsidP="00E320AE">
      <w:pPr>
        <w:pStyle w:val="SubmissionNormal"/>
        <w:numPr>
          <w:ilvl w:val="0"/>
          <w:numId w:val="35"/>
        </w:numPr>
        <w:ind w:left="1094" w:hanging="737"/>
        <w:rPr>
          <w:color w:val="auto"/>
          <w:szCs w:val="24"/>
          <w:lang w:eastAsia="en-AU"/>
        </w:rPr>
      </w:pPr>
      <w:r w:rsidRPr="00721373">
        <w:rPr>
          <w:color w:val="auto"/>
          <w:szCs w:val="24"/>
          <w:lang w:eastAsia="en-AU"/>
        </w:rPr>
        <w:t xml:space="preserve">The Commission </w:t>
      </w:r>
      <w:r>
        <w:rPr>
          <w:color w:val="auto"/>
          <w:szCs w:val="24"/>
          <w:lang w:eastAsia="en-AU"/>
        </w:rPr>
        <w:t>considers the</w:t>
      </w:r>
      <w:r w:rsidRPr="00721373">
        <w:rPr>
          <w:color w:val="auto"/>
          <w:szCs w:val="24"/>
          <w:lang w:eastAsia="en-AU"/>
        </w:rPr>
        <w:t xml:space="preserve"> exemption</w:t>
      </w:r>
      <w:r>
        <w:rPr>
          <w:color w:val="auto"/>
          <w:szCs w:val="24"/>
          <w:lang w:eastAsia="en-AU"/>
        </w:rPr>
        <w:t>,</w:t>
      </w:r>
      <w:r w:rsidRPr="00721373">
        <w:rPr>
          <w:color w:val="auto"/>
          <w:szCs w:val="24"/>
          <w:lang w:eastAsia="en-AU"/>
        </w:rPr>
        <w:t xml:space="preserve"> </w:t>
      </w:r>
      <w:r>
        <w:rPr>
          <w:color w:val="auto"/>
          <w:szCs w:val="24"/>
          <w:lang w:eastAsia="en-AU"/>
        </w:rPr>
        <w:t xml:space="preserve">on the terms granted, </w:t>
      </w:r>
      <w:r w:rsidRPr="00721373">
        <w:rPr>
          <w:color w:val="auto"/>
          <w:szCs w:val="24"/>
          <w:lang w:eastAsia="en-AU"/>
        </w:rPr>
        <w:t xml:space="preserve">will </w:t>
      </w:r>
      <w:r>
        <w:rPr>
          <w:color w:val="auto"/>
          <w:szCs w:val="24"/>
          <w:lang w:eastAsia="en-AU"/>
        </w:rPr>
        <w:t>provide</w:t>
      </w:r>
      <w:r w:rsidRPr="00721373">
        <w:rPr>
          <w:color w:val="auto"/>
          <w:szCs w:val="24"/>
          <w:lang w:eastAsia="en-AU"/>
        </w:rPr>
        <w:t xml:space="preserve"> the greatest level of certainty a</w:t>
      </w:r>
      <w:r>
        <w:rPr>
          <w:color w:val="auto"/>
          <w:szCs w:val="24"/>
          <w:lang w:eastAsia="en-AU"/>
        </w:rPr>
        <w:t>nd clarity for all stakeholders, will allow additional time for new assessments to be conducted and will limit the discriminatory effect of the exemption.</w:t>
      </w:r>
    </w:p>
    <w:p w:rsidR="00E320AE" w:rsidRPr="003F501C" w:rsidRDefault="00E320AE" w:rsidP="00E320AE">
      <w:pPr>
        <w:pStyle w:val="SubmissionNormal"/>
        <w:numPr>
          <w:ilvl w:val="0"/>
          <w:numId w:val="35"/>
        </w:numPr>
        <w:ind w:left="1094" w:hanging="737"/>
        <w:rPr>
          <w:color w:val="auto"/>
          <w:szCs w:val="24"/>
          <w:lang w:eastAsia="en-AU"/>
        </w:rPr>
      </w:pPr>
      <w:r>
        <w:rPr>
          <w:color w:val="auto"/>
          <w:szCs w:val="24"/>
          <w:lang w:eastAsia="en-AU"/>
        </w:rPr>
        <w:t xml:space="preserve">The Commission is of the view that in the current circumstances </w:t>
      </w:r>
      <w:r w:rsidRPr="003F501C">
        <w:rPr>
          <w:color w:val="auto"/>
          <w:szCs w:val="24"/>
          <w:lang w:eastAsia="en-AU"/>
        </w:rPr>
        <w:t>it is reasonable to grant an exemption:</w:t>
      </w:r>
    </w:p>
    <w:p w:rsidR="00E320AE" w:rsidRPr="00270509" w:rsidRDefault="00E320AE" w:rsidP="00E320AE">
      <w:pPr>
        <w:pStyle w:val="SubmissionNormal"/>
        <w:numPr>
          <w:ilvl w:val="0"/>
          <w:numId w:val="33"/>
        </w:numPr>
        <w:rPr>
          <w:color w:val="auto"/>
          <w:szCs w:val="24"/>
          <w:lang w:eastAsia="en-AU"/>
        </w:rPr>
      </w:pPr>
      <w:r w:rsidRPr="00270509">
        <w:rPr>
          <w:color w:val="auto"/>
          <w:szCs w:val="24"/>
          <w:lang w:eastAsia="en-AU"/>
        </w:rPr>
        <w:t xml:space="preserve">to an ADE that has been </w:t>
      </w:r>
      <w:r>
        <w:rPr>
          <w:color w:val="auto"/>
          <w:szCs w:val="24"/>
          <w:lang w:eastAsia="en-AU"/>
        </w:rPr>
        <w:t xml:space="preserve">or is </w:t>
      </w:r>
      <w:r w:rsidRPr="00270509">
        <w:rPr>
          <w:color w:val="auto"/>
          <w:szCs w:val="24"/>
          <w:lang w:eastAsia="en-AU"/>
        </w:rPr>
        <w:t xml:space="preserve">granted a further transitional period by an order of the </w:t>
      </w:r>
      <w:r>
        <w:rPr>
          <w:color w:val="auto"/>
          <w:szCs w:val="24"/>
          <w:lang w:eastAsia="en-AU"/>
        </w:rPr>
        <w:t>Fair Work Commission</w:t>
      </w:r>
      <w:r w:rsidRPr="00270509">
        <w:rPr>
          <w:color w:val="auto"/>
          <w:szCs w:val="24"/>
          <w:lang w:eastAsia="en-AU"/>
        </w:rPr>
        <w:t xml:space="preserve"> pursuant to clause 14.6(b)(ii) of the Award, for such period as granted in that order; and</w:t>
      </w:r>
    </w:p>
    <w:p w:rsidR="00E320AE" w:rsidRPr="00270509" w:rsidDel="00753DB7" w:rsidRDefault="00E320AE" w:rsidP="00E320AE">
      <w:pPr>
        <w:pStyle w:val="SubmissionNormal"/>
        <w:numPr>
          <w:ilvl w:val="0"/>
          <w:numId w:val="33"/>
        </w:numPr>
        <w:rPr>
          <w:color w:val="auto"/>
          <w:szCs w:val="24"/>
          <w:lang w:eastAsia="en-AU"/>
        </w:rPr>
      </w:pPr>
      <w:r w:rsidRPr="00270509" w:rsidDel="00753DB7">
        <w:rPr>
          <w:color w:val="auto"/>
          <w:szCs w:val="24"/>
          <w:lang w:eastAsia="en-AU"/>
        </w:rPr>
        <w:t xml:space="preserve">to the Commonwealth, for the period of any further transitional period granted to any ADE by the </w:t>
      </w:r>
      <w:r w:rsidDel="00753DB7">
        <w:rPr>
          <w:color w:val="auto"/>
          <w:szCs w:val="24"/>
          <w:lang w:eastAsia="en-AU"/>
        </w:rPr>
        <w:t>Fair Work Commission</w:t>
      </w:r>
      <w:r w:rsidRPr="00270509" w:rsidDel="00753DB7">
        <w:rPr>
          <w:color w:val="auto"/>
          <w:szCs w:val="24"/>
          <w:lang w:eastAsia="en-AU"/>
        </w:rPr>
        <w:t xml:space="preserve"> pursuant to clause 14.6(b)(ii) of the Award.</w:t>
      </w:r>
    </w:p>
    <w:p w:rsidR="00E320AE" w:rsidRDefault="00E320AE" w:rsidP="00E320AE">
      <w:pPr>
        <w:pStyle w:val="SubmissionNormal"/>
        <w:numPr>
          <w:ilvl w:val="0"/>
          <w:numId w:val="35"/>
        </w:numPr>
        <w:ind w:left="1094" w:hanging="737"/>
        <w:rPr>
          <w:color w:val="auto"/>
          <w:szCs w:val="24"/>
          <w:lang w:eastAsia="en-AU"/>
        </w:rPr>
      </w:pPr>
      <w:r>
        <w:rPr>
          <w:color w:val="auto"/>
          <w:szCs w:val="24"/>
          <w:lang w:eastAsia="en-AU"/>
        </w:rPr>
        <w:t xml:space="preserve">If no further transitional periods are granted by the Fair Work Commission there will be no exemption. </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lastRenderedPageBreak/>
        <w:t xml:space="preserve">To ensure that the discriminatory impact is minimised and that transition to a new wage-setting model is achieved as quickly as possible, it is appropriate to grant the exemption subject to conditions. </w:t>
      </w:r>
    </w:p>
    <w:p w:rsidR="00E320AE" w:rsidRPr="004D1483" w:rsidRDefault="00E320AE" w:rsidP="00E320AE">
      <w:pPr>
        <w:pStyle w:val="Heading1"/>
        <w:rPr>
          <w:lang w:eastAsia="en-AU"/>
        </w:rPr>
      </w:pPr>
      <w:r>
        <w:rPr>
          <w:lang w:eastAsia="en-AU"/>
        </w:rPr>
        <w:t>Avenues</w:t>
      </w:r>
      <w:r w:rsidRPr="004D1483">
        <w:rPr>
          <w:lang w:eastAsia="en-AU"/>
        </w:rPr>
        <w:t xml:space="preserve"> </w:t>
      </w:r>
      <w:r>
        <w:rPr>
          <w:lang w:eastAsia="en-AU"/>
        </w:rPr>
        <w:t>f</w:t>
      </w:r>
      <w:r w:rsidRPr="004D1483">
        <w:rPr>
          <w:lang w:eastAsia="en-AU"/>
        </w:rPr>
        <w:t xml:space="preserve">or </w:t>
      </w:r>
      <w:r>
        <w:rPr>
          <w:lang w:eastAsia="en-AU"/>
        </w:rPr>
        <w:t>r</w:t>
      </w:r>
      <w:r w:rsidRPr="004D1483">
        <w:rPr>
          <w:lang w:eastAsia="en-AU"/>
        </w:rPr>
        <w:t>eview</w:t>
      </w:r>
    </w:p>
    <w:p w:rsidR="00E320AE" w:rsidRPr="004D1483" w:rsidRDefault="00E320AE" w:rsidP="00E320AE">
      <w:pPr>
        <w:pStyle w:val="SubmissionNormal"/>
        <w:numPr>
          <w:ilvl w:val="0"/>
          <w:numId w:val="35"/>
        </w:numPr>
        <w:ind w:left="1094" w:hanging="737"/>
        <w:rPr>
          <w:color w:val="auto"/>
          <w:szCs w:val="24"/>
          <w:lang w:eastAsia="en-AU"/>
        </w:rPr>
      </w:pPr>
      <w:r w:rsidRPr="004D1483">
        <w:rPr>
          <w:color w:val="auto"/>
          <w:szCs w:val="24"/>
          <w:lang w:eastAsia="en-AU"/>
        </w:rPr>
        <w:t xml:space="preserve">Subject to the </w:t>
      </w:r>
      <w:r w:rsidRPr="003F1DEC">
        <w:rPr>
          <w:i/>
          <w:color w:val="auto"/>
          <w:szCs w:val="24"/>
          <w:lang w:eastAsia="en-AU"/>
        </w:rPr>
        <w:t>Administrative Appeals Tribunal Act 1975</w:t>
      </w:r>
      <w:r w:rsidRPr="004D1483">
        <w:rPr>
          <w:color w:val="auto"/>
          <w:szCs w:val="24"/>
          <w:lang w:eastAsia="en-AU"/>
        </w:rPr>
        <w:t xml:space="preserve"> (Cth), any person whose interests are affected by this decision may apply to the Administrative Appeals Tribunal for a review of the decision.</w:t>
      </w:r>
    </w:p>
    <w:p w:rsidR="00E320AE" w:rsidRDefault="00E320AE" w:rsidP="00E320AE">
      <w:pPr>
        <w:keepNext/>
      </w:pPr>
      <w:r w:rsidRPr="002A469C">
        <w:t xml:space="preserve">Dated this </w:t>
      </w:r>
      <w:r w:rsidRPr="0044155D">
        <w:t>18</w:t>
      </w:r>
      <w:r w:rsidRPr="002A469C">
        <w:t>th day of December</w:t>
      </w:r>
      <w:r>
        <w:t xml:space="preserve"> 2015</w:t>
      </w:r>
    </w:p>
    <w:p w:rsidR="00E320AE" w:rsidRDefault="00E320AE" w:rsidP="00E320AE">
      <w:pPr>
        <w:keepNext/>
      </w:pPr>
      <w:r w:rsidRPr="0044155D">
        <w:rPr>
          <w:noProof/>
          <w:lang w:eastAsia="en-AU"/>
        </w:rPr>
        <w:drawing>
          <wp:inline distT="0" distB="0" distL="0" distR="0" wp14:anchorId="5BAED1B1" wp14:editId="5CAF6CFC">
            <wp:extent cx="2012950" cy="1187450"/>
            <wp:effectExtent l="0" t="0" r="6350" b="0"/>
            <wp:docPr id="10" name="Picture 10" descr="I:\Admin\#Gillian's signature\Gillian's electronic 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Admin\#Gillian's signature\Gillian's electronic signatur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12950" cy="1187450"/>
                    </a:xfrm>
                    <a:prstGeom prst="rect">
                      <a:avLst/>
                    </a:prstGeom>
                    <a:noFill/>
                    <a:ln>
                      <a:noFill/>
                    </a:ln>
                  </pic:spPr>
                </pic:pic>
              </a:graphicData>
            </a:graphic>
          </wp:inline>
        </w:drawing>
      </w:r>
    </w:p>
    <w:p w:rsidR="00E320AE" w:rsidRPr="002A469C" w:rsidRDefault="00E320AE" w:rsidP="0044155D">
      <w:pPr>
        <w:keepNext/>
      </w:pPr>
      <w:r w:rsidRPr="002A469C">
        <w:t xml:space="preserve">Signed by the President, Professor Gillian Triggs, </w:t>
      </w:r>
      <w:r w:rsidRPr="002A469C">
        <w:br/>
        <w:t>on behalf of the Commission.</w:t>
      </w:r>
    </w:p>
    <w:sectPr w:rsidR="00E320AE" w:rsidRPr="002A469C" w:rsidSect="00B63D24">
      <w:headerReference w:type="even" r:id="rId11"/>
      <w:footerReference w:type="default" r:id="rId12"/>
      <w:headerReference w:type="first" r:id="rId13"/>
      <w:endnotePr>
        <w:numFmt w:val="decimal"/>
      </w:endnotePr>
      <w:pgSz w:w="11906" w:h="16838" w:code="9"/>
      <w:pgMar w:top="1134" w:right="1418" w:bottom="1134"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EED" w:rsidRDefault="00CD4EED" w:rsidP="00F14C6D">
      <w:r>
        <w:separator/>
      </w:r>
    </w:p>
  </w:endnote>
  <w:endnote w:type="continuationSeparator" w:id="0">
    <w:p w:rsidR="00CD4EED" w:rsidRDefault="00CD4EED" w:rsidP="00F1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MT">
    <w:altName w:val="Arial"/>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ED" w:rsidRPr="0090165F" w:rsidRDefault="00CD4EED" w:rsidP="00162A8D">
    <w:pPr>
      <w:pStyle w:val="Footer"/>
      <w:jc w:val="right"/>
    </w:pPr>
    <w:r>
      <w:rPr>
        <w:rStyle w:val="PageNumber"/>
      </w:rPr>
      <w:fldChar w:fldCharType="begin"/>
    </w:r>
    <w:r>
      <w:rPr>
        <w:rStyle w:val="PageNumber"/>
      </w:rPr>
      <w:instrText xml:space="preserve"> PAGE </w:instrText>
    </w:r>
    <w:r>
      <w:rPr>
        <w:rStyle w:val="PageNumber"/>
      </w:rPr>
      <w:fldChar w:fldCharType="separate"/>
    </w:r>
    <w:r w:rsidR="004318CA">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EED" w:rsidRDefault="00CD4EED" w:rsidP="00F14C6D">
      <w:r>
        <w:separator/>
      </w:r>
    </w:p>
  </w:footnote>
  <w:footnote w:type="continuationSeparator" w:id="0">
    <w:p w:rsidR="00CD4EED" w:rsidRDefault="00CD4EED" w:rsidP="00F14C6D">
      <w:r>
        <w:continuationSeparator/>
      </w:r>
    </w:p>
  </w:footnote>
  <w:footnote w:id="1">
    <w:p w:rsidR="00E320AE" w:rsidRDefault="00E320AE" w:rsidP="00E320AE">
      <w:pPr>
        <w:pStyle w:val="FootnoteText"/>
      </w:pPr>
      <w:r>
        <w:rPr>
          <w:rStyle w:val="FootnoteReference"/>
        </w:rPr>
        <w:footnoteRef/>
      </w:r>
      <w:r>
        <w:t xml:space="preserve"> </w:t>
      </w:r>
      <w:r>
        <w:tab/>
        <w:t xml:space="preserve">Section 55(1) </w:t>
      </w:r>
      <w:r w:rsidRPr="001B002E">
        <w:rPr>
          <w:i/>
        </w:rPr>
        <w:t>Disability Discrimination Act</w:t>
      </w:r>
      <w:r w:rsidRPr="00E7136A">
        <w:rPr>
          <w:i/>
        </w:rPr>
        <w:t xml:space="preserve"> 1992</w:t>
      </w:r>
      <w:r>
        <w:rPr>
          <w:i/>
        </w:rPr>
        <w:t xml:space="preserve"> </w:t>
      </w:r>
      <w:r>
        <w:t>(Cth).</w:t>
      </w:r>
    </w:p>
  </w:footnote>
  <w:footnote w:id="2">
    <w:p w:rsidR="00E320AE" w:rsidRDefault="00E320AE" w:rsidP="00E320AE">
      <w:pPr>
        <w:pStyle w:val="FootnoteText"/>
      </w:pPr>
      <w:r>
        <w:rPr>
          <w:rStyle w:val="FootnoteReference"/>
        </w:rPr>
        <w:footnoteRef/>
      </w:r>
      <w:r>
        <w:t xml:space="preserve"> </w:t>
      </w:r>
      <w:r>
        <w:tab/>
        <w:t xml:space="preserve">Section 55(3)(a) and (b) </w:t>
      </w:r>
      <w:r w:rsidRPr="001B002E">
        <w:rPr>
          <w:i/>
        </w:rPr>
        <w:t>Disability Discrimination Act</w:t>
      </w:r>
      <w:r w:rsidRPr="00E7136A">
        <w:rPr>
          <w:i/>
        </w:rPr>
        <w:t xml:space="preserve"> 1992</w:t>
      </w:r>
      <w:r>
        <w:rPr>
          <w:i/>
        </w:rPr>
        <w:t xml:space="preserve"> </w:t>
      </w:r>
      <w:r>
        <w:t>(Cth).</w:t>
      </w:r>
    </w:p>
  </w:footnote>
  <w:footnote w:id="3">
    <w:p w:rsidR="00E320AE" w:rsidRDefault="00E320AE" w:rsidP="00E320AE">
      <w:pPr>
        <w:pStyle w:val="FootnoteText"/>
      </w:pPr>
      <w:r>
        <w:rPr>
          <w:rStyle w:val="FootnoteReference"/>
        </w:rPr>
        <w:footnoteRef/>
      </w:r>
      <w:r>
        <w:t xml:space="preserve"> </w:t>
      </w:r>
      <w:r>
        <w:tab/>
        <w:t xml:space="preserve">Section 55(3)(c) </w:t>
      </w:r>
      <w:r w:rsidRPr="002F6B74">
        <w:rPr>
          <w:i/>
        </w:rPr>
        <w:t>Disability Discrimination Act</w:t>
      </w:r>
      <w:r>
        <w:t xml:space="preserve"> </w:t>
      </w:r>
      <w:r w:rsidRPr="00407A7F">
        <w:rPr>
          <w:i/>
        </w:rPr>
        <w:t>1992</w:t>
      </w:r>
      <w:r>
        <w:rPr>
          <w:i/>
        </w:rPr>
        <w:t xml:space="preserve"> </w:t>
      </w:r>
      <w:r>
        <w:t>(Cth).</w:t>
      </w:r>
    </w:p>
  </w:footnote>
  <w:footnote w:id="4">
    <w:p w:rsidR="00E320AE" w:rsidRDefault="00E320AE" w:rsidP="00E320AE">
      <w:pPr>
        <w:pStyle w:val="FootnoteText"/>
        <w:ind w:left="720" w:hanging="720"/>
      </w:pPr>
      <w:r>
        <w:rPr>
          <w:rStyle w:val="FootnoteReference"/>
        </w:rPr>
        <w:footnoteRef/>
      </w:r>
      <w:r>
        <w:t xml:space="preserve"> </w:t>
      </w:r>
      <w:r>
        <w:tab/>
        <w:t xml:space="preserve">Section 58 </w:t>
      </w:r>
      <w:r w:rsidRPr="001B002E">
        <w:rPr>
          <w:i/>
        </w:rPr>
        <w:t>Disability Discrimination Act</w:t>
      </w:r>
      <w:r w:rsidRPr="00E7136A">
        <w:rPr>
          <w:i/>
        </w:rPr>
        <w:t xml:space="preserve"> 1992</w:t>
      </w:r>
      <w:r>
        <w:rPr>
          <w:i/>
        </w:rPr>
        <w:t xml:space="preserve"> </w:t>
      </w:r>
      <w:r>
        <w:t>(Cth).</w:t>
      </w:r>
    </w:p>
  </w:footnote>
  <w:footnote w:id="5">
    <w:p w:rsidR="00E320AE" w:rsidRDefault="00E320AE" w:rsidP="00E320AE">
      <w:pPr>
        <w:pStyle w:val="FootnoteText"/>
      </w:pPr>
      <w:r>
        <w:rPr>
          <w:rStyle w:val="FootnoteReference"/>
        </w:rPr>
        <w:footnoteRef/>
      </w:r>
      <w:r>
        <w:t xml:space="preserve"> </w:t>
      </w:r>
      <w:r>
        <w:tab/>
        <w:t xml:space="preserve">Section 15 </w:t>
      </w:r>
      <w:r w:rsidRPr="001B002E">
        <w:rPr>
          <w:i/>
        </w:rPr>
        <w:t>Disability Discrimination Act</w:t>
      </w:r>
      <w:r w:rsidRPr="00E7136A">
        <w:rPr>
          <w:i/>
        </w:rPr>
        <w:t xml:space="preserve"> 1992</w:t>
      </w:r>
      <w:r>
        <w:rPr>
          <w:i/>
        </w:rPr>
        <w:t xml:space="preserve"> </w:t>
      </w:r>
      <w:r>
        <w:t>(Cth).</w:t>
      </w:r>
    </w:p>
  </w:footnote>
  <w:footnote w:id="6">
    <w:p w:rsidR="00E320AE" w:rsidRDefault="00E320AE" w:rsidP="00E320AE">
      <w:pPr>
        <w:pStyle w:val="FootnoteText"/>
      </w:pPr>
      <w:r>
        <w:rPr>
          <w:rStyle w:val="FootnoteReference"/>
        </w:rPr>
        <w:footnoteRef/>
      </w:r>
      <w:r>
        <w:t xml:space="preserve"> </w:t>
      </w:r>
      <w:r>
        <w:tab/>
        <w:t xml:space="preserve">Section 24 </w:t>
      </w:r>
      <w:r w:rsidRPr="001B002E">
        <w:rPr>
          <w:i/>
        </w:rPr>
        <w:t>Disability Discrimination Act</w:t>
      </w:r>
      <w:r w:rsidRPr="00E7136A">
        <w:rPr>
          <w:i/>
        </w:rPr>
        <w:t xml:space="preserve"> 1992</w:t>
      </w:r>
      <w:r>
        <w:rPr>
          <w:i/>
        </w:rPr>
        <w:t xml:space="preserve"> </w:t>
      </w:r>
      <w:r>
        <w:t>(Cth).</w:t>
      </w:r>
    </w:p>
  </w:footnote>
  <w:footnote w:id="7">
    <w:p w:rsidR="00E320AE" w:rsidRDefault="00E320AE" w:rsidP="00E320AE">
      <w:pPr>
        <w:pStyle w:val="FootnoteText"/>
      </w:pPr>
      <w:r>
        <w:rPr>
          <w:rStyle w:val="FootnoteReference"/>
        </w:rPr>
        <w:footnoteRef/>
      </w:r>
      <w:r>
        <w:t xml:space="preserve"> </w:t>
      </w:r>
      <w:r>
        <w:tab/>
        <w:t xml:space="preserve">Section 29 </w:t>
      </w:r>
      <w:r w:rsidRPr="001B002E">
        <w:rPr>
          <w:i/>
        </w:rPr>
        <w:t>Disability Discrimination Act</w:t>
      </w:r>
      <w:r w:rsidRPr="00E7136A">
        <w:rPr>
          <w:i/>
        </w:rPr>
        <w:t xml:space="preserve"> 1992</w:t>
      </w:r>
      <w:r>
        <w:rPr>
          <w:i/>
        </w:rPr>
        <w:t xml:space="preserve"> </w:t>
      </w:r>
      <w:r>
        <w:t>(Cth).</w:t>
      </w:r>
    </w:p>
  </w:footnote>
  <w:footnote w:id="8">
    <w:p w:rsidR="00E320AE" w:rsidRDefault="00E320AE" w:rsidP="00E320AE">
      <w:pPr>
        <w:pStyle w:val="FootnoteText"/>
        <w:ind w:left="720" w:hanging="720"/>
      </w:pPr>
      <w:r>
        <w:rPr>
          <w:rStyle w:val="FootnoteReference"/>
        </w:rPr>
        <w:footnoteRef/>
      </w:r>
      <w:r>
        <w:t xml:space="preserve"> </w:t>
      </w:r>
      <w:r>
        <w:tab/>
      </w:r>
      <w:r w:rsidRPr="00273893">
        <w:rPr>
          <w:i/>
        </w:rPr>
        <w:t>Nojin</w:t>
      </w:r>
      <w:r w:rsidRPr="007A00BC">
        <w:rPr>
          <w:i/>
        </w:rPr>
        <w:t xml:space="preserve"> </w:t>
      </w:r>
      <w:r w:rsidRPr="00CD21E2">
        <w:rPr>
          <w:i/>
        </w:rPr>
        <w:t>v Commonwealth of Australia</w:t>
      </w:r>
      <w:r w:rsidRPr="00CD21E2">
        <w:t xml:space="preserve"> [2012] FCAFC 192 at</w:t>
      </w:r>
      <w:r w:rsidRPr="00273893">
        <w:rPr>
          <w:i/>
        </w:rPr>
        <w:t xml:space="preserve"> </w:t>
      </w:r>
      <w:r>
        <w:t>[63], [70], [76], [91] [107], [109], [127], [134]-[139], [145], [254] [258].</w:t>
      </w:r>
    </w:p>
  </w:footnote>
  <w:footnote w:id="9">
    <w:p w:rsidR="00E320AE" w:rsidRDefault="00E320AE" w:rsidP="00E320AE">
      <w:pPr>
        <w:pStyle w:val="FootnoteText"/>
      </w:pPr>
      <w:r>
        <w:rPr>
          <w:rStyle w:val="FootnoteReference"/>
        </w:rPr>
        <w:footnoteRef/>
      </w:r>
      <w:r>
        <w:t xml:space="preserve"> </w:t>
      </w:r>
      <w:r>
        <w:tab/>
      </w:r>
      <w:r w:rsidRPr="00C9783C">
        <w:rPr>
          <w:i/>
        </w:rPr>
        <w:t>Disability Discrimination Act 1992</w:t>
      </w:r>
      <w:r>
        <w:t xml:space="preserve"> (Cth) section 47.</w:t>
      </w:r>
    </w:p>
  </w:footnote>
  <w:footnote w:id="10">
    <w:p w:rsidR="00E320AE" w:rsidRDefault="00E320AE" w:rsidP="00E320AE">
      <w:pPr>
        <w:pStyle w:val="FootnoteText"/>
      </w:pPr>
      <w:r>
        <w:rPr>
          <w:rStyle w:val="FootnoteReference"/>
        </w:rPr>
        <w:footnoteRef/>
      </w:r>
      <w:r>
        <w:t xml:space="preserve"> </w:t>
      </w:r>
      <w:r>
        <w:tab/>
      </w:r>
      <w:r w:rsidRPr="00595896">
        <w:rPr>
          <w:i/>
        </w:rPr>
        <w:t>Fair Work Act 2009</w:t>
      </w:r>
      <w:r>
        <w:t xml:space="preserve"> (Cth) section 12.</w:t>
      </w:r>
    </w:p>
  </w:footnote>
  <w:footnote w:id="11">
    <w:p w:rsidR="00E320AE" w:rsidRDefault="00E320AE" w:rsidP="00E320AE">
      <w:pPr>
        <w:pStyle w:val="FootnoteText"/>
        <w:ind w:left="720" w:hanging="720"/>
      </w:pPr>
      <w:r>
        <w:rPr>
          <w:rStyle w:val="FootnoteReference"/>
        </w:rPr>
        <w:footnoteRef/>
      </w:r>
      <w:r>
        <w:t xml:space="preserve"> </w:t>
      </w:r>
      <w:r>
        <w:tab/>
        <w:t xml:space="preserve">See </w:t>
      </w:r>
      <w:r w:rsidRPr="00443BB6">
        <w:rPr>
          <w:rFonts w:cs="Arial"/>
          <w:i/>
          <w:szCs w:val="24"/>
        </w:rPr>
        <w:t xml:space="preserve">Waters v Public Transport Corporation </w:t>
      </w:r>
      <w:r w:rsidRPr="00443BB6">
        <w:rPr>
          <w:rFonts w:cs="Arial"/>
          <w:szCs w:val="24"/>
        </w:rPr>
        <w:t>(1991) 173 CLR 349</w:t>
      </w:r>
      <w:r>
        <w:rPr>
          <w:rFonts w:cs="Arial"/>
          <w:szCs w:val="24"/>
        </w:rPr>
        <w:t xml:space="preserve">, </w:t>
      </w:r>
      <w:r w:rsidRPr="00707840">
        <w:rPr>
          <w:rFonts w:cs="Arial"/>
          <w:i/>
          <w:iCs/>
        </w:rPr>
        <w:t xml:space="preserve">Gibbs </w:t>
      </w:r>
      <w:r w:rsidRPr="00CD21E2">
        <w:rPr>
          <w:rFonts w:cs="Arial"/>
          <w:i/>
          <w:iCs/>
        </w:rPr>
        <w:t xml:space="preserve">v Commonwealth Bank of Australia </w:t>
      </w:r>
      <w:r w:rsidRPr="00CD21E2">
        <w:rPr>
          <w:rFonts w:cs="Arial"/>
        </w:rPr>
        <w:t xml:space="preserve">(1996) EOC 92-977, [1996] HREOCA 34, </w:t>
      </w:r>
      <w:r w:rsidRPr="00CD21E2">
        <w:rPr>
          <w:rFonts w:cs="Arial"/>
          <w:i/>
          <w:szCs w:val="24"/>
        </w:rPr>
        <w:t>Howe V Qantas Airways Limited</w:t>
      </w:r>
      <w:r w:rsidRPr="00CD21E2">
        <w:rPr>
          <w:rFonts w:cs="Arial"/>
          <w:szCs w:val="24"/>
        </w:rPr>
        <w:t xml:space="preserve"> [2004] FMCA 242 and </w:t>
      </w:r>
      <w:r w:rsidRPr="00CD21E2">
        <w:rPr>
          <w:i/>
        </w:rPr>
        <w:t>Nojin v Commonwealth of Australia</w:t>
      </w:r>
      <w:r w:rsidRPr="00CD21E2">
        <w:t xml:space="preserve"> [2012] FCAFC 192 at [267].</w:t>
      </w:r>
    </w:p>
  </w:footnote>
  <w:footnote w:id="12">
    <w:p w:rsidR="00E320AE" w:rsidRDefault="00E320AE" w:rsidP="00E320AE">
      <w:pPr>
        <w:pStyle w:val="FootnoteText"/>
        <w:ind w:left="720" w:hanging="720"/>
      </w:pPr>
      <w:r>
        <w:rPr>
          <w:rStyle w:val="FootnoteReference"/>
        </w:rPr>
        <w:footnoteRef/>
      </w:r>
      <w:r>
        <w:t xml:space="preserve"> </w:t>
      </w:r>
      <w:r>
        <w:tab/>
        <w:t>NDS Additional Submission 26 June 2015 – Attachment B</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ED" w:rsidRDefault="004318CA">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1" o:spid="_x0000_s2053" type="#_x0000_t75" style="position:absolute;margin-left:0;margin-top:0;width:595.65pt;height:870.15pt;z-index:-251657216;mso-position-horizontal:center;mso-position-horizontal-relative:margin;mso-position-vertical:center;mso-position-vertical-relative:margin" o:allowincell="f">
          <v:imagedata r:id="rId1" o:title="MS word cover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9" w:type="dxa"/>
      <w:tblInd w:w="108" w:type="dxa"/>
      <w:tblLayout w:type="fixed"/>
      <w:tblLook w:val="00A0" w:firstRow="1" w:lastRow="0" w:firstColumn="1" w:lastColumn="0" w:noHBand="0" w:noVBand="0"/>
    </w:tblPr>
    <w:tblGrid>
      <w:gridCol w:w="1508"/>
      <w:gridCol w:w="2688"/>
      <w:gridCol w:w="2302"/>
      <w:gridCol w:w="2130"/>
      <w:gridCol w:w="1721"/>
    </w:tblGrid>
    <w:tr w:rsidR="00CD4EED" w:rsidRPr="00B85DD4" w:rsidTr="002B1B65">
      <w:trPr>
        <w:trHeight w:val="1603"/>
      </w:trPr>
      <w:tc>
        <w:tcPr>
          <w:tcW w:w="1508" w:type="dxa"/>
        </w:tcPr>
        <w:p w:rsidR="00CD4EED" w:rsidRPr="00B85DD4" w:rsidRDefault="00CD4EED" w:rsidP="00B520BC">
          <w:pPr>
            <w:pStyle w:val="Header"/>
            <w:tabs>
              <w:tab w:val="left" w:pos="4686"/>
              <w:tab w:val="left" w:pos="7088"/>
              <w:tab w:val="left" w:pos="7242"/>
            </w:tabs>
            <w:ind w:left="-108"/>
            <w:rPr>
              <w:rFonts w:cs="ArialMT"/>
              <w:b/>
              <w:spacing w:val="-20"/>
            </w:rPr>
          </w:pPr>
          <w:r w:rsidRPr="004D6E55">
            <w:rPr>
              <w:rFonts w:cs="ArialMT"/>
              <w:b/>
              <w:noProof/>
              <w:spacing w:val="-20"/>
              <w:lang w:eastAsia="en-AU"/>
            </w:rPr>
            <w:drawing>
              <wp:inline distT="0" distB="0" distL="0" distR="0">
                <wp:extent cx="816610" cy="816610"/>
                <wp:effectExtent l="0" t="0" r="2540" b="2540"/>
                <wp:docPr id="8" name="Picture 2" descr="Description: Description: HREOC-Globe_PMS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HREOC-Globe_PMS_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6610" cy="816610"/>
                        </a:xfrm>
                        <a:prstGeom prst="rect">
                          <a:avLst/>
                        </a:prstGeom>
                        <a:noFill/>
                        <a:ln>
                          <a:noFill/>
                        </a:ln>
                      </pic:spPr>
                    </pic:pic>
                  </a:graphicData>
                </a:graphic>
              </wp:inline>
            </w:drawing>
          </w:r>
        </w:p>
      </w:tc>
      <w:tc>
        <w:tcPr>
          <w:tcW w:w="2688" w:type="dxa"/>
          <w:vAlign w:val="center"/>
        </w:tcPr>
        <w:p w:rsidR="00CD4EED" w:rsidRPr="00D36BB2" w:rsidRDefault="00CD4EED" w:rsidP="002B1B65">
          <w:pPr>
            <w:pStyle w:val="LogoType"/>
            <w:pBdr>
              <w:bottom w:val="single" w:sz="4" w:space="1" w:color="808080"/>
            </w:pBdr>
            <w:spacing w:line="240" w:lineRule="auto"/>
          </w:pPr>
          <w:r w:rsidRPr="00D36BB2">
            <w:t>Australian</w:t>
          </w:r>
        </w:p>
        <w:p w:rsidR="00CD4EED" w:rsidRPr="00D36BB2" w:rsidRDefault="00CD4EED" w:rsidP="002B1B65">
          <w:pPr>
            <w:pStyle w:val="LogoType"/>
            <w:pBdr>
              <w:bottom w:val="single" w:sz="4" w:space="1" w:color="808080"/>
            </w:pBdr>
            <w:spacing w:line="240" w:lineRule="auto"/>
          </w:pPr>
          <w:r w:rsidRPr="00D36BB2">
            <w:t>Human Rights</w:t>
          </w:r>
        </w:p>
        <w:p w:rsidR="00CD4EED" w:rsidRPr="00D36BB2" w:rsidRDefault="00CD4EED" w:rsidP="002B1B65">
          <w:pPr>
            <w:pStyle w:val="LogoType"/>
            <w:pBdr>
              <w:bottom w:val="single" w:sz="4" w:space="1" w:color="808080"/>
            </w:pBdr>
            <w:spacing w:line="240" w:lineRule="auto"/>
          </w:pPr>
          <w:r w:rsidRPr="00D36BB2">
            <w:t>Commission</w:t>
          </w:r>
        </w:p>
        <w:p w:rsidR="00CD4EED" w:rsidRPr="00B85DD4" w:rsidRDefault="00CD4EED" w:rsidP="002B1B65">
          <w:pPr>
            <w:spacing w:before="0" w:after="0"/>
            <w:rPr>
              <w:rFonts w:cs="ArialMT"/>
              <w:i/>
              <w:color w:val="808080"/>
              <w:sz w:val="17"/>
            </w:rPr>
          </w:pPr>
          <w:r w:rsidRPr="00B85DD4">
            <w:rPr>
              <w:rFonts w:cs="ArialMT"/>
              <w:i/>
              <w:color w:val="808080"/>
              <w:sz w:val="17"/>
            </w:rPr>
            <w:t>everyone, everywhere, everyday</w:t>
          </w:r>
        </w:p>
      </w:tc>
      <w:tc>
        <w:tcPr>
          <w:tcW w:w="2302" w:type="dxa"/>
        </w:tcPr>
        <w:p w:rsidR="00CD4EED" w:rsidRPr="00B85DD4" w:rsidRDefault="00CD4EED" w:rsidP="00B520BC">
          <w:pPr>
            <w:pStyle w:val="HeaderFooter"/>
            <w:rPr>
              <w:b/>
              <w:spacing w:val="-20"/>
              <w:sz w:val="40"/>
            </w:rPr>
          </w:pPr>
        </w:p>
      </w:tc>
      <w:tc>
        <w:tcPr>
          <w:tcW w:w="2130" w:type="dxa"/>
        </w:tcPr>
        <w:p w:rsidR="00CD4EED" w:rsidRPr="00B85DD4" w:rsidRDefault="00CD4EED" w:rsidP="00B520BC">
          <w:pPr>
            <w:pStyle w:val="HeaderFooter"/>
            <w:rPr>
              <w:b/>
              <w:spacing w:val="-20"/>
              <w:sz w:val="40"/>
            </w:rPr>
          </w:pPr>
        </w:p>
      </w:tc>
      <w:tc>
        <w:tcPr>
          <w:tcW w:w="1721" w:type="dxa"/>
        </w:tcPr>
        <w:p w:rsidR="00CD4EED" w:rsidRPr="00B85DD4" w:rsidRDefault="00CD4EED" w:rsidP="00B520BC">
          <w:pPr>
            <w:pStyle w:val="HeaderFooter"/>
            <w:spacing w:before="227" w:after="340"/>
            <w:rPr>
              <w:b/>
              <w:spacing w:val="-20"/>
              <w:sz w:val="40"/>
            </w:rPr>
          </w:pPr>
        </w:p>
      </w:tc>
    </w:tr>
  </w:tbl>
  <w:p w:rsidR="00CD4EED" w:rsidRDefault="004318CA">
    <w:pPr>
      <w:pStyle w:val="Header"/>
    </w:pPr>
    <w:r>
      <w:rPr>
        <w:rFonts w:cs="ArialMT"/>
        <w:b/>
        <w:noProof/>
        <w:spacing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66020" o:spid="_x0000_s2055" type="#_x0000_t75" style="position:absolute;margin-left:0;margin-top:0;width:595.65pt;height:870.15pt;z-index:-251658240;mso-position-horizontal:center;mso-position-horizontal-relative:margin;mso-position-vertical:center;mso-position-vertical-relative:margin" o:allowincell="f">
          <v:imagedata r:id="rId2" o:title="MS word cover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E30129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F36045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558AC8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1EC8FA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104E1E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C21C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56989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9C86F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3FEF41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D00DF86"/>
    <w:lvl w:ilvl="0">
      <w:start w:val="1"/>
      <w:numFmt w:val="bullet"/>
      <w:pStyle w:val="Heading9"/>
      <w:lvlText w:val=""/>
      <w:lvlJc w:val="left"/>
      <w:pPr>
        <w:tabs>
          <w:tab w:val="num" w:pos="360"/>
        </w:tabs>
        <w:ind w:left="360" w:hanging="360"/>
      </w:pPr>
      <w:rPr>
        <w:rFonts w:ascii="Symbol" w:hAnsi="Symbol" w:hint="default"/>
      </w:rPr>
    </w:lvl>
  </w:abstractNum>
  <w:abstractNum w:abstractNumId="10" w15:restartNumberingAfterBreak="0">
    <w:nsid w:val="052F0EA8"/>
    <w:multiLevelType w:val="hybridMultilevel"/>
    <w:tmpl w:val="4EC8C1A8"/>
    <w:lvl w:ilvl="0" w:tplc="A32EC98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6575709"/>
    <w:multiLevelType w:val="hybridMultilevel"/>
    <w:tmpl w:val="96246C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08C9289F"/>
    <w:multiLevelType w:val="hybridMultilevel"/>
    <w:tmpl w:val="4EC8C1A8"/>
    <w:lvl w:ilvl="0" w:tplc="A32EC98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417697E"/>
    <w:multiLevelType w:val="hybridMultilevel"/>
    <w:tmpl w:val="31B8A5AE"/>
    <w:lvl w:ilvl="0" w:tplc="36B657D6">
      <w:start w:val="8"/>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4BC1A75"/>
    <w:multiLevelType w:val="hybridMultilevel"/>
    <w:tmpl w:val="4EC8C1A8"/>
    <w:lvl w:ilvl="0" w:tplc="A32EC98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A2A7D28"/>
    <w:multiLevelType w:val="hybridMultilevel"/>
    <w:tmpl w:val="EBC47A70"/>
    <w:lvl w:ilvl="0" w:tplc="A32EC98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1B71560"/>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2F5505D1"/>
    <w:multiLevelType w:val="hybridMultilevel"/>
    <w:tmpl w:val="B8B82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F80015D"/>
    <w:multiLevelType w:val="hybridMultilevel"/>
    <w:tmpl w:val="FC76E9D2"/>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9" w15:restartNumberingAfterBreak="0">
    <w:nsid w:val="3589760F"/>
    <w:multiLevelType w:val="hybridMultilevel"/>
    <w:tmpl w:val="C3FC230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EBB4A78"/>
    <w:multiLevelType w:val="hybridMultilevel"/>
    <w:tmpl w:val="4EC8C1A8"/>
    <w:lvl w:ilvl="0" w:tplc="A32EC98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EC42FE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07D4519"/>
    <w:multiLevelType w:val="multilevel"/>
    <w:tmpl w:val="0D60825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lowerLetter"/>
      <w:lvlText w:val="(%3)"/>
      <w:lvlJc w:val="left"/>
      <w:pPr>
        <w:tabs>
          <w:tab w:val="num" w:pos="851"/>
        </w:tabs>
        <w:ind w:left="851" w:hanging="851"/>
      </w:pPr>
      <w:rPr>
        <w:rFonts w:hint="default"/>
      </w:rPr>
    </w:lvl>
    <w:lvl w:ilvl="3">
      <w:start w:val="1"/>
      <w:numFmt w:val="lowerRoman"/>
      <w:lvlText w:val="(%4)"/>
      <w:lvlJc w:val="left"/>
      <w:pPr>
        <w:tabs>
          <w:tab w:val="num" w:pos="851"/>
        </w:tabs>
        <w:ind w:left="851" w:hanging="851"/>
      </w:pPr>
      <w:rPr>
        <w:rFonts w:hint="default"/>
      </w:rPr>
    </w:lvl>
    <w:lvl w:ilvl="4">
      <w:start w:val="1"/>
      <w:numFmt w:val="decimal"/>
      <w:lvlText w:val="%1.%2.%3.%4.%5"/>
      <w:lvlJc w:val="left"/>
      <w:pPr>
        <w:tabs>
          <w:tab w:val="num" w:pos="0"/>
        </w:tabs>
        <w:ind w:left="1008" w:hanging="1008"/>
      </w:pPr>
      <w:rPr>
        <w:rFonts w:hint="default"/>
      </w:rPr>
    </w:lvl>
    <w:lvl w:ilvl="5">
      <w:start w:val="1"/>
      <w:numFmt w:val="decimal"/>
      <w:lvlText w:val="%1.%2.%3.%4.%5.%6"/>
      <w:lvlJc w:val="left"/>
      <w:pPr>
        <w:tabs>
          <w:tab w:val="num" w:pos="0"/>
        </w:tabs>
        <w:ind w:left="1152" w:hanging="1152"/>
      </w:pPr>
      <w:rPr>
        <w:rFonts w:hint="default"/>
      </w:rPr>
    </w:lvl>
    <w:lvl w:ilvl="6">
      <w:start w:val="1"/>
      <w:numFmt w:val="decimal"/>
      <w:lvlText w:val="%1.%2.%3.%4.%5.%6.%7"/>
      <w:lvlJc w:val="left"/>
      <w:pPr>
        <w:tabs>
          <w:tab w:val="num" w:pos="0"/>
        </w:tabs>
        <w:ind w:left="1296" w:hanging="1296"/>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3" w15:restartNumberingAfterBreak="0">
    <w:nsid w:val="4956240E"/>
    <w:multiLevelType w:val="hybridMultilevel"/>
    <w:tmpl w:val="96246C5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9FF7A73"/>
    <w:multiLevelType w:val="multilevel"/>
    <w:tmpl w:val="48C06BF8"/>
    <w:lvl w:ilvl="0">
      <w:start w:val="1"/>
      <w:numFmt w:val="decimal"/>
      <w:pStyle w:val="Heading1"/>
      <w:lvlText w:val="%1"/>
      <w:lvlJc w:val="left"/>
      <w:pPr>
        <w:tabs>
          <w:tab w:val="num" w:pos="851"/>
        </w:tabs>
        <w:ind w:left="851" w:hanging="851"/>
      </w:pPr>
      <w:rPr>
        <w:rFonts w:hint="default"/>
      </w:rPr>
    </w:lvl>
    <w:lvl w:ilvl="1">
      <w:start w:val="1"/>
      <w:numFmt w:val="decimal"/>
      <w:pStyle w:val="Heading2"/>
      <w:lvlText w:val="%1.%2"/>
      <w:lvlJc w:val="left"/>
      <w:pPr>
        <w:tabs>
          <w:tab w:val="num" w:pos="851"/>
        </w:tabs>
        <w:ind w:left="851" w:hanging="851"/>
      </w:pPr>
      <w:rPr>
        <w:rFonts w:hint="default"/>
      </w:rPr>
    </w:lvl>
    <w:lvl w:ilvl="2">
      <w:start w:val="1"/>
      <w:numFmt w:val="lowerLetter"/>
      <w:pStyle w:val="Heading3"/>
      <w:lvlText w:val="(%3)"/>
      <w:lvlJc w:val="left"/>
      <w:pPr>
        <w:tabs>
          <w:tab w:val="num" w:pos="851"/>
        </w:tabs>
        <w:ind w:left="851" w:hanging="851"/>
      </w:pPr>
      <w:rPr>
        <w:rFonts w:hint="default"/>
      </w:rPr>
    </w:lvl>
    <w:lvl w:ilvl="3">
      <w:start w:val="1"/>
      <w:numFmt w:val="lowerRoman"/>
      <w:pStyle w:val="Heading4"/>
      <w:lvlText w:val="(%4)"/>
      <w:lvlJc w:val="left"/>
      <w:pPr>
        <w:tabs>
          <w:tab w:val="num" w:pos="851"/>
        </w:tabs>
        <w:ind w:left="851" w:hanging="851"/>
      </w:pPr>
      <w:rPr>
        <w:rFonts w:hint="default"/>
      </w:rPr>
    </w:lvl>
    <w:lvl w:ilvl="4">
      <w:start w:val="1"/>
      <w:numFmt w:val="decimal"/>
      <w:pStyle w:val="Heading5"/>
      <w:lvlText w:val="%1.%2.%3.%4.%5"/>
      <w:lvlJc w:val="left"/>
      <w:pPr>
        <w:tabs>
          <w:tab w:val="num" w:pos="0"/>
        </w:tabs>
        <w:ind w:left="1008" w:hanging="1008"/>
      </w:pPr>
      <w:rPr>
        <w:rFonts w:hint="default"/>
      </w:rPr>
    </w:lvl>
    <w:lvl w:ilvl="5">
      <w:start w:val="1"/>
      <w:numFmt w:val="decimal"/>
      <w:pStyle w:val="Heading6"/>
      <w:lvlText w:val="%1.%2.%3.%4.%5.%6"/>
      <w:lvlJc w:val="left"/>
      <w:pPr>
        <w:tabs>
          <w:tab w:val="num" w:pos="0"/>
        </w:tabs>
        <w:ind w:left="1152" w:hanging="1152"/>
      </w:pPr>
      <w:rPr>
        <w:rFonts w:hint="default"/>
      </w:rPr>
    </w:lvl>
    <w:lvl w:ilvl="6">
      <w:start w:val="1"/>
      <w:numFmt w:val="decimal"/>
      <w:pStyle w:val="Heading7"/>
      <w:lvlText w:val="%1.%2.%3.%4.%5.%6.%7"/>
      <w:lvlJc w:val="left"/>
      <w:pPr>
        <w:tabs>
          <w:tab w:val="num" w:pos="0"/>
        </w:tabs>
        <w:ind w:left="1296" w:hanging="1296"/>
      </w:pPr>
      <w:rPr>
        <w:rFonts w:hint="default"/>
      </w:rPr>
    </w:lvl>
    <w:lvl w:ilvl="7">
      <w:start w:val="1"/>
      <w:numFmt w:val="decimal"/>
      <w:pStyle w:val="Heading8"/>
      <w:lvlText w:val="%1.%2.%3.%4.%5.%6.%7.%8"/>
      <w:lvlJc w:val="left"/>
      <w:pPr>
        <w:tabs>
          <w:tab w:val="num" w:pos="0"/>
        </w:tabs>
        <w:ind w:left="1440" w:hanging="1440"/>
      </w:pPr>
      <w:rPr>
        <w:rFonts w:hint="default"/>
      </w:rPr>
    </w:lvl>
    <w:lvl w:ilvl="8">
      <w:start w:val="1"/>
      <w:numFmt w:val="decimal"/>
      <w:lvlText w:val="%1.%2.%3.%4.%5.%6.%7.%8.%9"/>
      <w:lvlJc w:val="left"/>
      <w:pPr>
        <w:tabs>
          <w:tab w:val="num" w:pos="0"/>
        </w:tabs>
        <w:ind w:left="1584" w:hanging="1584"/>
      </w:pPr>
      <w:rPr>
        <w:rFonts w:hint="default"/>
      </w:rPr>
    </w:lvl>
  </w:abstractNum>
  <w:abstractNum w:abstractNumId="25" w15:restartNumberingAfterBreak="0">
    <w:nsid w:val="4E4322A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6" w15:restartNumberingAfterBreak="0">
    <w:nsid w:val="578F5F82"/>
    <w:multiLevelType w:val="hybridMultilevel"/>
    <w:tmpl w:val="EBC47A70"/>
    <w:lvl w:ilvl="0" w:tplc="A32EC982">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1CA4B4C"/>
    <w:multiLevelType w:val="hybridMultilevel"/>
    <w:tmpl w:val="00AAF984"/>
    <w:lvl w:ilvl="0" w:tplc="93DAA1A4">
      <w:start w:val="1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F40EC9"/>
    <w:multiLevelType w:val="hybridMultilevel"/>
    <w:tmpl w:val="AE047BAE"/>
    <w:lvl w:ilvl="0" w:tplc="A704E1E6">
      <w:start w:val="1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EEE453A"/>
    <w:multiLevelType w:val="hybridMultilevel"/>
    <w:tmpl w:val="EC4CDE56"/>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
  </w:num>
  <w:num w:numId="8">
    <w:abstractNumId w:val="0"/>
  </w:num>
  <w:num w:numId="9">
    <w:abstractNumId w:val="3"/>
  </w:num>
  <w:num w:numId="10">
    <w:abstractNumId w:val="2"/>
  </w:num>
  <w:num w:numId="11">
    <w:abstractNumId w:val="25"/>
  </w:num>
  <w:num w:numId="12">
    <w:abstractNumId w:val="21"/>
  </w:num>
  <w:num w:numId="13">
    <w:abstractNumId w:val="16"/>
  </w:num>
  <w:num w:numId="14">
    <w:abstractNumId w:val="24"/>
  </w:num>
  <w:num w:numId="15">
    <w:abstractNumId w:val="15"/>
  </w:num>
  <w:num w:numId="16">
    <w:abstractNumId w:val="18"/>
  </w:num>
  <w:num w:numId="17">
    <w:abstractNumId w:val="13"/>
  </w:num>
  <w:num w:numId="18">
    <w:abstractNumId w:val="28"/>
  </w:num>
  <w:num w:numId="19">
    <w:abstractNumId w:val="27"/>
  </w:num>
  <w:num w:numId="20">
    <w:abstractNumId w:val="19"/>
  </w:num>
  <w:num w:numId="21">
    <w:abstractNumId w:val="24"/>
  </w:num>
  <w:num w:numId="22">
    <w:abstractNumId w:val="24"/>
  </w:num>
  <w:num w:numId="23">
    <w:abstractNumId w:val="24"/>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0"/>
  </w:num>
  <w:num w:numId="26">
    <w:abstractNumId w:val="22"/>
  </w:num>
  <w:num w:numId="27">
    <w:abstractNumId w:val="24"/>
  </w:num>
  <w:num w:numId="28">
    <w:abstractNumId w:val="24"/>
  </w:num>
  <w:num w:numId="29">
    <w:abstractNumId w:val="17"/>
  </w:num>
  <w:num w:numId="30">
    <w:abstractNumId w:val="11"/>
  </w:num>
  <w:num w:numId="31">
    <w:abstractNumId w:val="10"/>
  </w:num>
  <w:num w:numId="32">
    <w:abstractNumId w:val="12"/>
  </w:num>
  <w:num w:numId="33">
    <w:abstractNumId w:val="29"/>
  </w:num>
  <w:num w:numId="34">
    <w:abstractNumId w:val="23"/>
  </w:num>
  <w:num w:numId="35">
    <w:abstractNumId w:val="14"/>
  </w:num>
  <w:num w:numId="3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20"/>
  <w:displayHorizontalDrawingGridEvery w:val="2"/>
  <w:characterSpacingControl w:val="doNotCompress"/>
  <w:hdrShapeDefaults>
    <o:shapedefaults v:ext="edit" spidmax="2056"/>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3E7"/>
    <w:rsid w:val="000009D6"/>
    <w:rsid w:val="00001948"/>
    <w:rsid w:val="000076B4"/>
    <w:rsid w:val="00010078"/>
    <w:rsid w:val="0001589A"/>
    <w:rsid w:val="00026634"/>
    <w:rsid w:val="000279AC"/>
    <w:rsid w:val="0003606D"/>
    <w:rsid w:val="00056D5E"/>
    <w:rsid w:val="000579B1"/>
    <w:rsid w:val="00063474"/>
    <w:rsid w:val="00072D2F"/>
    <w:rsid w:val="00073207"/>
    <w:rsid w:val="00074319"/>
    <w:rsid w:val="00077122"/>
    <w:rsid w:val="00096B56"/>
    <w:rsid w:val="00096C08"/>
    <w:rsid w:val="000A1DB8"/>
    <w:rsid w:val="000A2CF6"/>
    <w:rsid w:val="000A48AC"/>
    <w:rsid w:val="000B0A5D"/>
    <w:rsid w:val="000B5F07"/>
    <w:rsid w:val="000C5BCD"/>
    <w:rsid w:val="000D2D9C"/>
    <w:rsid w:val="000D2F75"/>
    <w:rsid w:val="000E130A"/>
    <w:rsid w:val="000F3C6F"/>
    <w:rsid w:val="000F3CC0"/>
    <w:rsid w:val="000F4B3E"/>
    <w:rsid w:val="000F5E00"/>
    <w:rsid w:val="00105D10"/>
    <w:rsid w:val="00106B00"/>
    <w:rsid w:val="00113D33"/>
    <w:rsid w:val="00116299"/>
    <w:rsid w:val="00131D9D"/>
    <w:rsid w:val="00134774"/>
    <w:rsid w:val="00140274"/>
    <w:rsid w:val="00143832"/>
    <w:rsid w:val="00145AC3"/>
    <w:rsid w:val="001471E5"/>
    <w:rsid w:val="00151263"/>
    <w:rsid w:val="001546FD"/>
    <w:rsid w:val="0015777F"/>
    <w:rsid w:val="00157911"/>
    <w:rsid w:val="00162A8D"/>
    <w:rsid w:val="00165E3C"/>
    <w:rsid w:val="00173FB5"/>
    <w:rsid w:val="00177900"/>
    <w:rsid w:val="00181DA9"/>
    <w:rsid w:val="00184B9E"/>
    <w:rsid w:val="00186C9C"/>
    <w:rsid w:val="00197FDF"/>
    <w:rsid w:val="001A33D9"/>
    <w:rsid w:val="001A3976"/>
    <w:rsid w:val="001A7AC3"/>
    <w:rsid w:val="001B0353"/>
    <w:rsid w:val="001C1239"/>
    <w:rsid w:val="001C1F8B"/>
    <w:rsid w:val="001D1788"/>
    <w:rsid w:val="001D3E56"/>
    <w:rsid w:val="001D64F3"/>
    <w:rsid w:val="001D72C0"/>
    <w:rsid w:val="001E3AEB"/>
    <w:rsid w:val="001F2BBB"/>
    <w:rsid w:val="001F6736"/>
    <w:rsid w:val="00200677"/>
    <w:rsid w:val="00204824"/>
    <w:rsid w:val="00204D59"/>
    <w:rsid w:val="002060CB"/>
    <w:rsid w:val="00206D91"/>
    <w:rsid w:val="002126D1"/>
    <w:rsid w:val="002223A2"/>
    <w:rsid w:val="00224AA3"/>
    <w:rsid w:val="00225F41"/>
    <w:rsid w:val="002269B4"/>
    <w:rsid w:val="00231ED1"/>
    <w:rsid w:val="00232EBF"/>
    <w:rsid w:val="002356A2"/>
    <w:rsid w:val="00237E18"/>
    <w:rsid w:val="00242624"/>
    <w:rsid w:val="002438E6"/>
    <w:rsid w:val="0024557E"/>
    <w:rsid w:val="00250E3C"/>
    <w:rsid w:val="002556C0"/>
    <w:rsid w:val="00255E6D"/>
    <w:rsid w:val="00257BBC"/>
    <w:rsid w:val="002668F0"/>
    <w:rsid w:val="00267BFA"/>
    <w:rsid w:val="00270509"/>
    <w:rsid w:val="002862A1"/>
    <w:rsid w:val="002863D7"/>
    <w:rsid w:val="00291E2B"/>
    <w:rsid w:val="00297A34"/>
    <w:rsid w:val="002A469C"/>
    <w:rsid w:val="002A7C98"/>
    <w:rsid w:val="002B0BE9"/>
    <w:rsid w:val="002B1B65"/>
    <w:rsid w:val="002B4FDD"/>
    <w:rsid w:val="002B6B26"/>
    <w:rsid w:val="002C0DC5"/>
    <w:rsid w:val="002C1866"/>
    <w:rsid w:val="002C1E17"/>
    <w:rsid w:val="002D06FE"/>
    <w:rsid w:val="002F2160"/>
    <w:rsid w:val="002F4CE1"/>
    <w:rsid w:val="002F5E7A"/>
    <w:rsid w:val="00300F22"/>
    <w:rsid w:val="00304A37"/>
    <w:rsid w:val="00310ED4"/>
    <w:rsid w:val="00312301"/>
    <w:rsid w:val="0031492A"/>
    <w:rsid w:val="00314A99"/>
    <w:rsid w:val="00316C1A"/>
    <w:rsid w:val="00316C2C"/>
    <w:rsid w:val="00317AE8"/>
    <w:rsid w:val="00323C73"/>
    <w:rsid w:val="0032449F"/>
    <w:rsid w:val="00324A2D"/>
    <w:rsid w:val="00331141"/>
    <w:rsid w:val="00336EDC"/>
    <w:rsid w:val="00342101"/>
    <w:rsid w:val="00344758"/>
    <w:rsid w:val="00344D63"/>
    <w:rsid w:val="00347142"/>
    <w:rsid w:val="003565A8"/>
    <w:rsid w:val="003566EA"/>
    <w:rsid w:val="00357593"/>
    <w:rsid w:val="00367692"/>
    <w:rsid w:val="00372C79"/>
    <w:rsid w:val="00372CFB"/>
    <w:rsid w:val="00373411"/>
    <w:rsid w:val="0037620B"/>
    <w:rsid w:val="00382B62"/>
    <w:rsid w:val="003919E4"/>
    <w:rsid w:val="00395931"/>
    <w:rsid w:val="003A140F"/>
    <w:rsid w:val="003A3C14"/>
    <w:rsid w:val="003B13E7"/>
    <w:rsid w:val="003B3A91"/>
    <w:rsid w:val="003C05E7"/>
    <w:rsid w:val="003C1BA6"/>
    <w:rsid w:val="003C1EB2"/>
    <w:rsid w:val="003C5A6F"/>
    <w:rsid w:val="003C64BC"/>
    <w:rsid w:val="003D227B"/>
    <w:rsid w:val="003D261E"/>
    <w:rsid w:val="003D5793"/>
    <w:rsid w:val="003F1DEC"/>
    <w:rsid w:val="003F501C"/>
    <w:rsid w:val="004002B3"/>
    <w:rsid w:val="00407A7F"/>
    <w:rsid w:val="0041693B"/>
    <w:rsid w:val="00422417"/>
    <w:rsid w:val="00424233"/>
    <w:rsid w:val="0043042B"/>
    <w:rsid w:val="004318CA"/>
    <w:rsid w:val="00432562"/>
    <w:rsid w:val="0043592D"/>
    <w:rsid w:val="0044155D"/>
    <w:rsid w:val="004530D7"/>
    <w:rsid w:val="00455612"/>
    <w:rsid w:val="00462844"/>
    <w:rsid w:val="00465267"/>
    <w:rsid w:val="00465457"/>
    <w:rsid w:val="00465928"/>
    <w:rsid w:val="004706F7"/>
    <w:rsid w:val="00472EFF"/>
    <w:rsid w:val="00474063"/>
    <w:rsid w:val="00476793"/>
    <w:rsid w:val="00477126"/>
    <w:rsid w:val="00485C7A"/>
    <w:rsid w:val="00492F3D"/>
    <w:rsid w:val="00495AC6"/>
    <w:rsid w:val="00496F38"/>
    <w:rsid w:val="004A0D66"/>
    <w:rsid w:val="004A187B"/>
    <w:rsid w:val="004A2D3C"/>
    <w:rsid w:val="004B02FB"/>
    <w:rsid w:val="004C6EE7"/>
    <w:rsid w:val="004C7412"/>
    <w:rsid w:val="004D04BF"/>
    <w:rsid w:val="004D1483"/>
    <w:rsid w:val="004D46A6"/>
    <w:rsid w:val="004D485C"/>
    <w:rsid w:val="004D629A"/>
    <w:rsid w:val="004D6E55"/>
    <w:rsid w:val="004E0DFF"/>
    <w:rsid w:val="004E1DED"/>
    <w:rsid w:val="004E2413"/>
    <w:rsid w:val="004F1C7C"/>
    <w:rsid w:val="004F7638"/>
    <w:rsid w:val="005041F3"/>
    <w:rsid w:val="005057E9"/>
    <w:rsid w:val="005123F0"/>
    <w:rsid w:val="0051254A"/>
    <w:rsid w:val="00513540"/>
    <w:rsid w:val="00513941"/>
    <w:rsid w:val="005261B5"/>
    <w:rsid w:val="005303ED"/>
    <w:rsid w:val="0053051D"/>
    <w:rsid w:val="00544844"/>
    <w:rsid w:val="00547D56"/>
    <w:rsid w:val="00564208"/>
    <w:rsid w:val="00567BF9"/>
    <w:rsid w:val="00571AA3"/>
    <w:rsid w:val="00571CEB"/>
    <w:rsid w:val="005906A1"/>
    <w:rsid w:val="00591951"/>
    <w:rsid w:val="005957FB"/>
    <w:rsid w:val="00595896"/>
    <w:rsid w:val="005A1D53"/>
    <w:rsid w:val="005A4EF1"/>
    <w:rsid w:val="005B0F1A"/>
    <w:rsid w:val="005C43F9"/>
    <w:rsid w:val="005C44DA"/>
    <w:rsid w:val="005C5010"/>
    <w:rsid w:val="005C5B72"/>
    <w:rsid w:val="005C5D41"/>
    <w:rsid w:val="005C725C"/>
    <w:rsid w:val="005D1F34"/>
    <w:rsid w:val="005D383D"/>
    <w:rsid w:val="005D49CE"/>
    <w:rsid w:val="005D6368"/>
    <w:rsid w:val="005F55FE"/>
    <w:rsid w:val="00604121"/>
    <w:rsid w:val="006064C4"/>
    <w:rsid w:val="0061121F"/>
    <w:rsid w:val="00617470"/>
    <w:rsid w:val="00630E71"/>
    <w:rsid w:val="00635371"/>
    <w:rsid w:val="00640840"/>
    <w:rsid w:val="006425D0"/>
    <w:rsid w:val="00645BAB"/>
    <w:rsid w:val="00647BB6"/>
    <w:rsid w:val="00651C16"/>
    <w:rsid w:val="00654793"/>
    <w:rsid w:val="0066272B"/>
    <w:rsid w:val="00667FC1"/>
    <w:rsid w:val="0067077B"/>
    <w:rsid w:val="00672D74"/>
    <w:rsid w:val="00674907"/>
    <w:rsid w:val="00676421"/>
    <w:rsid w:val="006765D5"/>
    <w:rsid w:val="00685D55"/>
    <w:rsid w:val="006952B9"/>
    <w:rsid w:val="006A0190"/>
    <w:rsid w:val="006A3250"/>
    <w:rsid w:val="006A6BB3"/>
    <w:rsid w:val="006C657B"/>
    <w:rsid w:val="006C73F6"/>
    <w:rsid w:val="006D16BD"/>
    <w:rsid w:val="006D3C1B"/>
    <w:rsid w:val="006D5EE5"/>
    <w:rsid w:val="006D70FC"/>
    <w:rsid w:val="006E3AF2"/>
    <w:rsid w:val="006F04BC"/>
    <w:rsid w:val="006F22DE"/>
    <w:rsid w:val="006F30F9"/>
    <w:rsid w:val="006F796E"/>
    <w:rsid w:val="007007D6"/>
    <w:rsid w:val="00702A5E"/>
    <w:rsid w:val="007034FA"/>
    <w:rsid w:val="00707840"/>
    <w:rsid w:val="00710112"/>
    <w:rsid w:val="00712D6B"/>
    <w:rsid w:val="00713756"/>
    <w:rsid w:val="00715B58"/>
    <w:rsid w:val="0071682D"/>
    <w:rsid w:val="00721373"/>
    <w:rsid w:val="0072183E"/>
    <w:rsid w:val="00726E1E"/>
    <w:rsid w:val="00741E8B"/>
    <w:rsid w:val="00743727"/>
    <w:rsid w:val="007518E6"/>
    <w:rsid w:val="00753DB7"/>
    <w:rsid w:val="007540BF"/>
    <w:rsid w:val="00756547"/>
    <w:rsid w:val="007629CA"/>
    <w:rsid w:val="00762F3C"/>
    <w:rsid w:val="00762FAE"/>
    <w:rsid w:val="00765EAC"/>
    <w:rsid w:val="007701A2"/>
    <w:rsid w:val="00770DCB"/>
    <w:rsid w:val="00775485"/>
    <w:rsid w:val="00780189"/>
    <w:rsid w:val="00782C3E"/>
    <w:rsid w:val="007832DF"/>
    <w:rsid w:val="0078534A"/>
    <w:rsid w:val="00790482"/>
    <w:rsid w:val="007A00BC"/>
    <w:rsid w:val="007B07F3"/>
    <w:rsid w:val="007C0659"/>
    <w:rsid w:val="007C47D7"/>
    <w:rsid w:val="007C500A"/>
    <w:rsid w:val="007C722B"/>
    <w:rsid w:val="007D0DD4"/>
    <w:rsid w:val="007E5B88"/>
    <w:rsid w:val="007E612B"/>
    <w:rsid w:val="007E6EE0"/>
    <w:rsid w:val="007F0D0B"/>
    <w:rsid w:val="007F5291"/>
    <w:rsid w:val="008007A8"/>
    <w:rsid w:val="00803042"/>
    <w:rsid w:val="00803AF8"/>
    <w:rsid w:val="008042D9"/>
    <w:rsid w:val="00804623"/>
    <w:rsid w:val="00805882"/>
    <w:rsid w:val="008117C2"/>
    <w:rsid w:val="00814FC0"/>
    <w:rsid w:val="00822FA5"/>
    <w:rsid w:val="0082341C"/>
    <w:rsid w:val="00824129"/>
    <w:rsid w:val="008258F9"/>
    <w:rsid w:val="0083191B"/>
    <w:rsid w:val="00837F88"/>
    <w:rsid w:val="00840F01"/>
    <w:rsid w:val="00840F6D"/>
    <w:rsid w:val="00846B13"/>
    <w:rsid w:val="0085032B"/>
    <w:rsid w:val="0085048C"/>
    <w:rsid w:val="00851197"/>
    <w:rsid w:val="008608F3"/>
    <w:rsid w:val="00863790"/>
    <w:rsid w:val="0086425E"/>
    <w:rsid w:val="008646F6"/>
    <w:rsid w:val="008724DE"/>
    <w:rsid w:val="0087268F"/>
    <w:rsid w:val="00881FE0"/>
    <w:rsid w:val="00887CA7"/>
    <w:rsid w:val="00890E43"/>
    <w:rsid w:val="008A3D57"/>
    <w:rsid w:val="008A4CCB"/>
    <w:rsid w:val="008B15E6"/>
    <w:rsid w:val="008B19E4"/>
    <w:rsid w:val="008B208E"/>
    <w:rsid w:val="008B23BC"/>
    <w:rsid w:val="008B2DF3"/>
    <w:rsid w:val="008B3FDB"/>
    <w:rsid w:val="008C3501"/>
    <w:rsid w:val="008C45AA"/>
    <w:rsid w:val="008D4D42"/>
    <w:rsid w:val="008D5C2F"/>
    <w:rsid w:val="008E0491"/>
    <w:rsid w:val="008E3D60"/>
    <w:rsid w:val="008E3F4C"/>
    <w:rsid w:val="008E6906"/>
    <w:rsid w:val="008E798D"/>
    <w:rsid w:val="008F2F10"/>
    <w:rsid w:val="008F6B7B"/>
    <w:rsid w:val="00900797"/>
    <w:rsid w:val="0090165F"/>
    <w:rsid w:val="00901B82"/>
    <w:rsid w:val="00912B09"/>
    <w:rsid w:val="00913E06"/>
    <w:rsid w:val="00920CC3"/>
    <w:rsid w:val="0092325B"/>
    <w:rsid w:val="00923E26"/>
    <w:rsid w:val="00936AB0"/>
    <w:rsid w:val="00945B0F"/>
    <w:rsid w:val="00951906"/>
    <w:rsid w:val="00953369"/>
    <w:rsid w:val="00966C2F"/>
    <w:rsid w:val="00974B2A"/>
    <w:rsid w:val="0097512B"/>
    <w:rsid w:val="009765C6"/>
    <w:rsid w:val="00983528"/>
    <w:rsid w:val="00983A7C"/>
    <w:rsid w:val="009931F8"/>
    <w:rsid w:val="009959C1"/>
    <w:rsid w:val="00996971"/>
    <w:rsid w:val="009970FF"/>
    <w:rsid w:val="009A083D"/>
    <w:rsid w:val="009A13A9"/>
    <w:rsid w:val="009A3315"/>
    <w:rsid w:val="009B0888"/>
    <w:rsid w:val="009B1EA9"/>
    <w:rsid w:val="009B29F8"/>
    <w:rsid w:val="009C24F2"/>
    <w:rsid w:val="009C2E1F"/>
    <w:rsid w:val="009C636F"/>
    <w:rsid w:val="009C72A5"/>
    <w:rsid w:val="009D0EB3"/>
    <w:rsid w:val="009D2E14"/>
    <w:rsid w:val="009D67F6"/>
    <w:rsid w:val="009D75F4"/>
    <w:rsid w:val="009E0545"/>
    <w:rsid w:val="009E0FE1"/>
    <w:rsid w:val="009E1634"/>
    <w:rsid w:val="009E31FD"/>
    <w:rsid w:val="009E3A8D"/>
    <w:rsid w:val="009E7E90"/>
    <w:rsid w:val="009F0F69"/>
    <w:rsid w:val="009F35C7"/>
    <w:rsid w:val="00A02BC9"/>
    <w:rsid w:val="00A03574"/>
    <w:rsid w:val="00A0406E"/>
    <w:rsid w:val="00A07617"/>
    <w:rsid w:val="00A11307"/>
    <w:rsid w:val="00A13AF3"/>
    <w:rsid w:val="00A15104"/>
    <w:rsid w:val="00A16A73"/>
    <w:rsid w:val="00A17FDB"/>
    <w:rsid w:val="00A207A6"/>
    <w:rsid w:val="00A21388"/>
    <w:rsid w:val="00A234A5"/>
    <w:rsid w:val="00A24737"/>
    <w:rsid w:val="00A27791"/>
    <w:rsid w:val="00A27A7F"/>
    <w:rsid w:val="00A332AB"/>
    <w:rsid w:val="00A3439B"/>
    <w:rsid w:val="00A41355"/>
    <w:rsid w:val="00A43B92"/>
    <w:rsid w:val="00A43F35"/>
    <w:rsid w:val="00A54251"/>
    <w:rsid w:val="00A6179E"/>
    <w:rsid w:val="00A62DF8"/>
    <w:rsid w:val="00A6321A"/>
    <w:rsid w:val="00A64316"/>
    <w:rsid w:val="00A725B5"/>
    <w:rsid w:val="00A77997"/>
    <w:rsid w:val="00A804D9"/>
    <w:rsid w:val="00A810B3"/>
    <w:rsid w:val="00A8292B"/>
    <w:rsid w:val="00A866FB"/>
    <w:rsid w:val="00A92F92"/>
    <w:rsid w:val="00A943BC"/>
    <w:rsid w:val="00A948CD"/>
    <w:rsid w:val="00A96892"/>
    <w:rsid w:val="00AA2051"/>
    <w:rsid w:val="00AB2DD2"/>
    <w:rsid w:val="00AD0243"/>
    <w:rsid w:val="00AE6879"/>
    <w:rsid w:val="00B032E4"/>
    <w:rsid w:val="00B06A02"/>
    <w:rsid w:val="00B07367"/>
    <w:rsid w:val="00B07E5F"/>
    <w:rsid w:val="00B10827"/>
    <w:rsid w:val="00B11DF3"/>
    <w:rsid w:val="00B2416E"/>
    <w:rsid w:val="00B24B1D"/>
    <w:rsid w:val="00B25B3F"/>
    <w:rsid w:val="00B277E0"/>
    <w:rsid w:val="00B30C16"/>
    <w:rsid w:val="00B34946"/>
    <w:rsid w:val="00B404C4"/>
    <w:rsid w:val="00B432AD"/>
    <w:rsid w:val="00B462AD"/>
    <w:rsid w:val="00B519FD"/>
    <w:rsid w:val="00B520BC"/>
    <w:rsid w:val="00B52B17"/>
    <w:rsid w:val="00B57297"/>
    <w:rsid w:val="00B60279"/>
    <w:rsid w:val="00B63D24"/>
    <w:rsid w:val="00B924E6"/>
    <w:rsid w:val="00B96D4A"/>
    <w:rsid w:val="00BA262D"/>
    <w:rsid w:val="00BA5698"/>
    <w:rsid w:val="00BC593B"/>
    <w:rsid w:val="00BC79EB"/>
    <w:rsid w:val="00BD7FCF"/>
    <w:rsid w:val="00C00866"/>
    <w:rsid w:val="00C0222E"/>
    <w:rsid w:val="00C06DC2"/>
    <w:rsid w:val="00C146BA"/>
    <w:rsid w:val="00C22C75"/>
    <w:rsid w:val="00C25BDA"/>
    <w:rsid w:val="00C279FE"/>
    <w:rsid w:val="00C30535"/>
    <w:rsid w:val="00C33104"/>
    <w:rsid w:val="00C50CB0"/>
    <w:rsid w:val="00C71C01"/>
    <w:rsid w:val="00C74E40"/>
    <w:rsid w:val="00C808A5"/>
    <w:rsid w:val="00C8110A"/>
    <w:rsid w:val="00C854D4"/>
    <w:rsid w:val="00C86530"/>
    <w:rsid w:val="00C90556"/>
    <w:rsid w:val="00C92842"/>
    <w:rsid w:val="00C92F9D"/>
    <w:rsid w:val="00C9783C"/>
    <w:rsid w:val="00CA0D78"/>
    <w:rsid w:val="00CA1B86"/>
    <w:rsid w:val="00CA4855"/>
    <w:rsid w:val="00CB24FE"/>
    <w:rsid w:val="00CB6D00"/>
    <w:rsid w:val="00CC148B"/>
    <w:rsid w:val="00CD00D1"/>
    <w:rsid w:val="00CD21E2"/>
    <w:rsid w:val="00CD4EED"/>
    <w:rsid w:val="00CD560B"/>
    <w:rsid w:val="00CD58FD"/>
    <w:rsid w:val="00CE6C32"/>
    <w:rsid w:val="00CF19A4"/>
    <w:rsid w:val="00D04D49"/>
    <w:rsid w:val="00D12E92"/>
    <w:rsid w:val="00D159AF"/>
    <w:rsid w:val="00D30A51"/>
    <w:rsid w:val="00D30A61"/>
    <w:rsid w:val="00D329AC"/>
    <w:rsid w:val="00D343FA"/>
    <w:rsid w:val="00D366C2"/>
    <w:rsid w:val="00D418FF"/>
    <w:rsid w:val="00D438AA"/>
    <w:rsid w:val="00D445C4"/>
    <w:rsid w:val="00D479A0"/>
    <w:rsid w:val="00D479CE"/>
    <w:rsid w:val="00D5596E"/>
    <w:rsid w:val="00D64688"/>
    <w:rsid w:val="00D65C76"/>
    <w:rsid w:val="00D729AD"/>
    <w:rsid w:val="00D734C7"/>
    <w:rsid w:val="00D750D1"/>
    <w:rsid w:val="00D77C7E"/>
    <w:rsid w:val="00D80EF9"/>
    <w:rsid w:val="00D90181"/>
    <w:rsid w:val="00D90F46"/>
    <w:rsid w:val="00D941F5"/>
    <w:rsid w:val="00DA0B9A"/>
    <w:rsid w:val="00DA2F73"/>
    <w:rsid w:val="00DB4865"/>
    <w:rsid w:val="00DB7E97"/>
    <w:rsid w:val="00DC462F"/>
    <w:rsid w:val="00DC65A1"/>
    <w:rsid w:val="00DD1FFC"/>
    <w:rsid w:val="00DD6A21"/>
    <w:rsid w:val="00DE60CA"/>
    <w:rsid w:val="00DF442D"/>
    <w:rsid w:val="00DF4907"/>
    <w:rsid w:val="00E06EC6"/>
    <w:rsid w:val="00E22E39"/>
    <w:rsid w:val="00E24FA3"/>
    <w:rsid w:val="00E26B28"/>
    <w:rsid w:val="00E27235"/>
    <w:rsid w:val="00E31465"/>
    <w:rsid w:val="00E320AE"/>
    <w:rsid w:val="00E328CD"/>
    <w:rsid w:val="00E36B95"/>
    <w:rsid w:val="00E4003F"/>
    <w:rsid w:val="00E458F6"/>
    <w:rsid w:val="00E45954"/>
    <w:rsid w:val="00E54278"/>
    <w:rsid w:val="00E57FAE"/>
    <w:rsid w:val="00E602A0"/>
    <w:rsid w:val="00E61585"/>
    <w:rsid w:val="00E70AD3"/>
    <w:rsid w:val="00E72402"/>
    <w:rsid w:val="00E7474D"/>
    <w:rsid w:val="00E83847"/>
    <w:rsid w:val="00E91972"/>
    <w:rsid w:val="00EA1E31"/>
    <w:rsid w:val="00EA44D9"/>
    <w:rsid w:val="00EA4733"/>
    <w:rsid w:val="00EA52AD"/>
    <w:rsid w:val="00EA7A90"/>
    <w:rsid w:val="00EA7B4A"/>
    <w:rsid w:val="00EB27AC"/>
    <w:rsid w:val="00EB4C9F"/>
    <w:rsid w:val="00EB6A76"/>
    <w:rsid w:val="00EB7EA4"/>
    <w:rsid w:val="00EC3683"/>
    <w:rsid w:val="00ED151E"/>
    <w:rsid w:val="00ED53EB"/>
    <w:rsid w:val="00ED71AC"/>
    <w:rsid w:val="00EE0533"/>
    <w:rsid w:val="00EE15DA"/>
    <w:rsid w:val="00EE55F1"/>
    <w:rsid w:val="00EF1BDC"/>
    <w:rsid w:val="00EF4830"/>
    <w:rsid w:val="00F00241"/>
    <w:rsid w:val="00F13E62"/>
    <w:rsid w:val="00F14C6D"/>
    <w:rsid w:val="00F268A0"/>
    <w:rsid w:val="00F3123A"/>
    <w:rsid w:val="00F439D7"/>
    <w:rsid w:val="00F44E66"/>
    <w:rsid w:val="00F46FF1"/>
    <w:rsid w:val="00F51016"/>
    <w:rsid w:val="00F554C0"/>
    <w:rsid w:val="00F63485"/>
    <w:rsid w:val="00F7112D"/>
    <w:rsid w:val="00F7404D"/>
    <w:rsid w:val="00F7726E"/>
    <w:rsid w:val="00F80D18"/>
    <w:rsid w:val="00F82108"/>
    <w:rsid w:val="00FA1EBE"/>
    <w:rsid w:val="00FA4916"/>
    <w:rsid w:val="00FB0B7A"/>
    <w:rsid w:val="00FB148B"/>
    <w:rsid w:val="00FC1AFD"/>
    <w:rsid w:val="00FC21FB"/>
    <w:rsid w:val="00FC4E8E"/>
    <w:rsid w:val="00FD01B5"/>
    <w:rsid w:val="00FD239B"/>
    <w:rsid w:val="00FD2F9C"/>
    <w:rsid w:val="00FD4F4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15:chartTrackingRefBased/>
  <w15:docId w15:val="{6A3EBDAE-8AF3-4A10-B3C0-5D656D386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qFormat="1"/>
    <w:lsdException w:name="toc 2" w:uiPriority="39" w:qFormat="1"/>
    <w:lsdException w:name="toc 3" w:uiPriority="39" w:qFormat="1"/>
    <w:lsdException w:name="toc 4" w:uiPriority="39"/>
    <w:lsdException w:name="toc 5" w:locked="1"/>
    <w:lsdException w:name="toc 6" w:locked="1"/>
    <w:lsdException w:name="toc 7" w:locked="1"/>
    <w:lsdException w:name="toc 8" w:locked="1"/>
    <w:lsdException w:name="toc 9" w:locked="1"/>
    <w:lsdException w:name="Normal Indent" w:locked="1"/>
    <w:lsdException w:name="footnote text" w:uiPriority="99"/>
    <w:lsdException w:name="annotation text" w:locked="1"/>
    <w:lsdException w:name="footer"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annotation reference" w:locked="1"/>
    <w:lsdException w:name="line number" w:locked="1"/>
    <w:lsdException w:name="page number"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Body Text" w:locked="1"/>
    <w:lsdException w:name="Body Text Indent" w:locked="1"/>
    <w:lsdException w:name="List Continue" w:locked="1"/>
    <w:lsdException w:name="List Continue 2" w:locked="1"/>
    <w:lsdException w:name="List Continue 3"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uiPriority="99"/>
    <w:lsdException w:name="FollowedHyperlink" w:locked="1"/>
    <w:lsdException w:name="Strong" w:qFormat="1"/>
    <w:lsdException w:name="Emphasis" w:locked="1" w:qFormat="1"/>
    <w:lsdException w:name="Document Map" w:locked="1"/>
    <w:lsdException w:name="Plain Text" w:locked="1"/>
    <w:lsdException w:name="E-mail Signature"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semiHidden="1" w:unhideWhenUsed="1"/>
    <w:lsdException w:name="annotation subject" w:locked="1"/>
    <w:lsdException w:name="No List" w:uiPriority="99"/>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9C"/>
    <w:pPr>
      <w:spacing w:before="240" w:after="240"/>
    </w:pPr>
    <w:rPr>
      <w:rFonts w:ascii="Arial" w:eastAsia="MS Mincho" w:hAnsi="Arial"/>
      <w:color w:val="000000"/>
      <w:sz w:val="24"/>
      <w:lang w:eastAsia="en-US"/>
    </w:rPr>
  </w:style>
  <w:style w:type="paragraph" w:styleId="Heading1">
    <w:name w:val="heading 1"/>
    <w:basedOn w:val="Normal"/>
    <w:next w:val="Normal"/>
    <w:link w:val="Heading1Char"/>
    <w:qFormat/>
    <w:rsid w:val="002A469C"/>
    <w:pPr>
      <w:keepNext/>
      <w:keepLines/>
      <w:numPr>
        <w:numId w:val="14"/>
      </w:numPr>
      <w:spacing w:before="360"/>
      <w:outlineLvl w:val="0"/>
    </w:pPr>
    <w:rPr>
      <w:b/>
      <w:bCs/>
      <w:sz w:val="28"/>
      <w:szCs w:val="28"/>
    </w:rPr>
  </w:style>
  <w:style w:type="paragraph" w:styleId="Heading2">
    <w:name w:val="heading 2"/>
    <w:basedOn w:val="Heading1"/>
    <w:next w:val="Normal"/>
    <w:link w:val="Heading2Char"/>
    <w:qFormat/>
    <w:rsid w:val="002A469C"/>
    <w:pPr>
      <w:numPr>
        <w:ilvl w:val="1"/>
      </w:numPr>
      <w:outlineLvl w:val="1"/>
    </w:pPr>
    <w:rPr>
      <w:bCs w:val="0"/>
      <w:i/>
      <w:szCs w:val="26"/>
    </w:rPr>
  </w:style>
  <w:style w:type="paragraph" w:styleId="Heading3">
    <w:name w:val="heading 3"/>
    <w:basedOn w:val="Heading2"/>
    <w:next w:val="Normal"/>
    <w:link w:val="Heading3Char"/>
    <w:qFormat/>
    <w:rsid w:val="002A469C"/>
    <w:pPr>
      <w:numPr>
        <w:ilvl w:val="2"/>
      </w:numPr>
      <w:outlineLvl w:val="2"/>
    </w:pPr>
    <w:rPr>
      <w:b w:val="0"/>
      <w:bCs/>
      <w:color w:val="auto"/>
      <w:sz w:val="24"/>
    </w:rPr>
  </w:style>
  <w:style w:type="paragraph" w:styleId="Heading4">
    <w:name w:val="heading 4"/>
    <w:basedOn w:val="Heading3"/>
    <w:next w:val="Normal"/>
    <w:link w:val="Heading4Char"/>
    <w:qFormat/>
    <w:rsid w:val="002A469C"/>
    <w:pPr>
      <w:numPr>
        <w:ilvl w:val="3"/>
      </w:numPr>
      <w:outlineLvl w:val="3"/>
    </w:pPr>
    <w:rPr>
      <w:bCs w:val="0"/>
      <w:i w:val="0"/>
      <w:iCs/>
    </w:rPr>
  </w:style>
  <w:style w:type="paragraph" w:styleId="Heading5">
    <w:name w:val="heading 5"/>
    <w:basedOn w:val="Normal"/>
    <w:next w:val="Normal"/>
    <w:link w:val="Heading5Char"/>
    <w:qFormat/>
    <w:locked/>
    <w:rsid w:val="002A469C"/>
    <w:pPr>
      <w:keepNext/>
      <w:keepLines/>
      <w:numPr>
        <w:ilvl w:val="4"/>
        <w:numId w:val="14"/>
      </w:numPr>
      <w:spacing w:before="200"/>
      <w:outlineLvl w:val="4"/>
    </w:pPr>
    <w:rPr>
      <w:rFonts w:ascii="Cambria" w:hAnsi="Cambria"/>
      <w:color w:val="243F60"/>
    </w:rPr>
  </w:style>
  <w:style w:type="paragraph" w:styleId="Heading6">
    <w:name w:val="heading 6"/>
    <w:basedOn w:val="Normal"/>
    <w:next w:val="Normal"/>
    <w:link w:val="Heading6Char"/>
    <w:qFormat/>
    <w:locked/>
    <w:rsid w:val="002A469C"/>
    <w:pPr>
      <w:keepNext/>
      <w:keepLines/>
      <w:numPr>
        <w:ilvl w:val="5"/>
        <w:numId w:val="14"/>
      </w:numPr>
      <w:spacing w:before="200"/>
      <w:outlineLvl w:val="5"/>
    </w:pPr>
    <w:rPr>
      <w:rFonts w:ascii="Cambria" w:hAnsi="Cambria"/>
      <w:i/>
      <w:iCs/>
      <w:color w:val="243F60"/>
    </w:rPr>
  </w:style>
  <w:style w:type="paragraph" w:styleId="Heading7">
    <w:name w:val="heading 7"/>
    <w:basedOn w:val="Normal"/>
    <w:next w:val="Normal"/>
    <w:link w:val="Heading7Char"/>
    <w:qFormat/>
    <w:locked/>
    <w:rsid w:val="002A469C"/>
    <w:pPr>
      <w:keepNext/>
      <w:keepLines/>
      <w:numPr>
        <w:ilvl w:val="6"/>
        <w:numId w:val="14"/>
      </w:numPr>
      <w:spacing w:before="200"/>
      <w:outlineLvl w:val="6"/>
    </w:pPr>
    <w:rPr>
      <w:rFonts w:ascii="Cambria" w:hAnsi="Cambria"/>
      <w:i/>
      <w:iCs/>
      <w:color w:val="404040"/>
    </w:rPr>
  </w:style>
  <w:style w:type="paragraph" w:styleId="Heading8">
    <w:name w:val="heading 8"/>
    <w:basedOn w:val="Normal"/>
    <w:next w:val="Normal"/>
    <w:link w:val="Heading8Char"/>
    <w:qFormat/>
    <w:locked/>
    <w:rsid w:val="002A469C"/>
    <w:pPr>
      <w:keepNext/>
      <w:keepLines/>
      <w:numPr>
        <w:ilvl w:val="7"/>
        <w:numId w:val="14"/>
      </w:numPr>
      <w:spacing w:before="200"/>
      <w:outlineLvl w:val="7"/>
    </w:pPr>
    <w:rPr>
      <w:rFonts w:ascii="Cambria" w:hAnsi="Cambria"/>
      <w:color w:val="404040"/>
      <w:sz w:val="20"/>
    </w:rPr>
  </w:style>
  <w:style w:type="paragraph" w:styleId="Heading9">
    <w:name w:val="heading 9"/>
    <w:basedOn w:val="Normal"/>
    <w:next w:val="Normal"/>
    <w:link w:val="Heading9Char"/>
    <w:qFormat/>
    <w:locked/>
    <w:rsid w:val="002A469C"/>
    <w:pPr>
      <w:keepNext/>
      <w:keepLines/>
      <w:numPr>
        <w:ilvl w:val="8"/>
        <w:numId w:val="1"/>
      </w:numPr>
      <w:tabs>
        <w:tab w:val="clear" w:pos="360"/>
        <w:tab w:val="num" w:pos="0"/>
      </w:tabs>
      <w:spacing w:before="200"/>
      <w:ind w:left="1584" w:hanging="1584"/>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A469C"/>
    <w:rPr>
      <w:rFonts w:ascii="Arial" w:eastAsia="MS Mincho" w:hAnsi="Arial"/>
      <w:b/>
      <w:bCs/>
      <w:color w:val="000000"/>
      <w:sz w:val="28"/>
      <w:szCs w:val="28"/>
      <w:lang w:eastAsia="en-US"/>
    </w:rPr>
  </w:style>
  <w:style w:type="character" w:customStyle="1" w:styleId="Heading2Char">
    <w:name w:val="Heading 2 Char"/>
    <w:link w:val="Heading2"/>
    <w:rsid w:val="002A469C"/>
    <w:rPr>
      <w:rFonts w:ascii="Arial" w:eastAsia="MS Mincho" w:hAnsi="Arial"/>
      <w:b/>
      <w:i/>
      <w:color w:val="000000"/>
      <w:sz w:val="28"/>
      <w:szCs w:val="26"/>
      <w:lang w:eastAsia="en-US"/>
    </w:rPr>
  </w:style>
  <w:style w:type="character" w:customStyle="1" w:styleId="Heading3Char">
    <w:name w:val="Heading 3 Char"/>
    <w:link w:val="Heading3"/>
    <w:rsid w:val="002A469C"/>
    <w:rPr>
      <w:rFonts w:ascii="Arial" w:eastAsia="MS Mincho" w:hAnsi="Arial"/>
      <w:bCs/>
      <w:i/>
      <w:sz w:val="24"/>
      <w:szCs w:val="26"/>
      <w:lang w:eastAsia="en-US"/>
    </w:rPr>
  </w:style>
  <w:style w:type="character" w:customStyle="1" w:styleId="Heading4Char">
    <w:name w:val="Heading 4 Char"/>
    <w:link w:val="Heading4"/>
    <w:rsid w:val="002A469C"/>
    <w:rPr>
      <w:rFonts w:ascii="Arial" w:eastAsia="MS Mincho" w:hAnsi="Arial"/>
      <w:iCs/>
      <w:sz w:val="24"/>
      <w:szCs w:val="26"/>
      <w:lang w:eastAsia="en-US"/>
    </w:rPr>
  </w:style>
  <w:style w:type="character" w:styleId="Strong">
    <w:name w:val="Strong"/>
    <w:qFormat/>
    <w:locked/>
    <w:rsid w:val="002A469C"/>
    <w:rPr>
      <w:b/>
      <w:bCs/>
    </w:rPr>
  </w:style>
  <w:style w:type="character" w:customStyle="1" w:styleId="Heading5Char">
    <w:name w:val="Heading 5 Char"/>
    <w:link w:val="Heading5"/>
    <w:rsid w:val="002A469C"/>
    <w:rPr>
      <w:rFonts w:ascii="Cambria" w:eastAsia="MS Mincho" w:hAnsi="Cambria"/>
      <w:color w:val="243F60"/>
      <w:sz w:val="24"/>
      <w:lang w:eastAsia="en-US"/>
    </w:rPr>
  </w:style>
  <w:style w:type="character" w:customStyle="1" w:styleId="Heading6Char">
    <w:name w:val="Heading 6 Char"/>
    <w:link w:val="Heading6"/>
    <w:rsid w:val="002A469C"/>
    <w:rPr>
      <w:rFonts w:ascii="Cambria" w:eastAsia="MS Mincho" w:hAnsi="Cambria"/>
      <w:i/>
      <w:iCs/>
      <w:color w:val="243F60"/>
      <w:sz w:val="24"/>
      <w:lang w:eastAsia="en-US"/>
    </w:rPr>
  </w:style>
  <w:style w:type="character" w:customStyle="1" w:styleId="Heading7Char">
    <w:name w:val="Heading 7 Char"/>
    <w:link w:val="Heading7"/>
    <w:rsid w:val="002A469C"/>
    <w:rPr>
      <w:rFonts w:ascii="Cambria" w:eastAsia="MS Mincho" w:hAnsi="Cambria"/>
      <w:i/>
      <w:iCs/>
      <w:color w:val="404040"/>
      <w:sz w:val="24"/>
      <w:lang w:eastAsia="en-US"/>
    </w:rPr>
  </w:style>
  <w:style w:type="character" w:customStyle="1" w:styleId="Heading8Char">
    <w:name w:val="Heading 8 Char"/>
    <w:link w:val="Heading8"/>
    <w:rsid w:val="002A469C"/>
    <w:rPr>
      <w:rFonts w:ascii="Cambria" w:eastAsia="MS Mincho" w:hAnsi="Cambria"/>
      <w:color w:val="404040"/>
      <w:lang w:eastAsia="en-US"/>
    </w:rPr>
  </w:style>
  <w:style w:type="character" w:customStyle="1" w:styleId="Heading9Char">
    <w:name w:val="Heading 9 Char"/>
    <w:link w:val="Heading9"/>
    <w:rsid w:val="002A469C"/>
    <w:rPr>
      <w:rFonts w:ascii="Cambria" w:eastAsia="MS Mincho" w:hAnsi="Cambria"/>
      <w:i/>
      <w:iCs/>
      <w:color w:val="404040"/>
      <w:lang w:eastAsia="en-US"/>
    </w:rPr>
  </w:style>
  <w:style w:type="paragraph" w:styleId="Header">
    <w:name w:val="header"/>
    <w:basedOn w:val="Normal"/>
    <w:link w:val="HeaderChar"/>
    <w:semiHidden/>
    <w:rsid w:val="0090165F"/>
    <w:pPr>
      <w:tabs>
        <w:tab w:val="center" w:pos="4513"/>
        <w:tab w:val="right" w:pos="9026"/>
      </w:tabs>
      <w:spacing w:after="0"/>
    </w:pPr>
    <w:rPr>
      <w:sz w:val="22"/>
    </w:rPr>
  </w:style>
  <w:style w:type="character" w:customStyle="1" w:styleId="HeaderChar">
    <w:name w:val="Header Char"/>
    <w:link w:val="Header"/>
    <w:rsid w:val="0090165F"/>
    <w:rPr>
      <w:rFonts w:ascii="Arial" w:hAnsi="Arial"/>
      <w:sz w:val="22"/>
      <w:szCs w:val="24"/>
      <w:lang w:val="en-AU" w:eastAsia="en-AU" w:bidi="ar-SA"/>
    </w:rPr>
  </w:style>
  <w:style w:type="paragraph" w:styleId="Footer">
    <w:name w:val="footer"/>
    <w:basedOn w:val="Normal"/>
    <w:link w:val="FooterChar"/>
    <w:uiPriority w:val="99"/>
    <w:semiHidden/>
    <w:rsid w:val="0003606D"/>
    <w:pPr>
      <w:tabs>
        <w:tab w:val="right" w:pos="2835"/>
        <w:tab w:val="right" w:pos="5670"/>
      </w:tabs>
      <w:spacing w:before="0" w:after="60"/>
    </w:pPr>
    <w:rPr>
      <w:color w:val="404040"/>
      <w:sz w:val="18"/>
    </w:rPr>
  </w:style>
  <w:style w:type="character" w:customStyle="1" w:styleId="FooterChar">
    <w:name w:val="Footer Char"/>
    <w:link w:val="Footer"/>
    <w:uiPriority w:val="99"/>
    <w:semiHidden/>
    <w:rsid w:val="0003606D"/>
    <w:rPr>
      <w:rFonts w:ascii="Arial" w:eastAsia="MS Mincho" w:hAnsi="Arial"/>
      <w:color w:val="404040"/>
      <w:sz w:val="18"/>
      <w:szCs w:val="24"/>
    </w:rPr>
  </w:style>
  <w:style w:type="paragraph" w:styleId="TOC3">
    <w:name w:val="toc 3"/>
    <w:basedOn w:val="Normal"/>
    <w:next w:val="Normal"/>
    <w:autoRedefine/>
    <w:uiPriority w:val="39"/>
    <w:semiHidden/>
    <w:qFormat/>
    <w:locked/>
    <w:rsid w:val="002A469C"/>
    <w:pPr>
      <w:tabs>
        <w:tab w:val="right" w:leader="dot" w:pos="9060"/>
      </w:tabs>
      <w:spacing w:before="0" w:after="0"/>
      <w:ind w:left="1202" w:hanging="720"/>
    </w:pPr>
    <w:rPr>
      <w:rFonts w:cs="Arial"/>
      <w:i/>
      <w:noProof/>
    </w:rPr>
  </w:style>
  <w:style w:type="character" w:styleId="PlaceholderText">
    <w:name w:val="Placeholder Text"/>
    <w:uiPriority w:val="99"/>
    <w:semiHidden/>
    <w:locked/>
    <w:rsid w:val="005D1F34"/>
    <w:rPr>
      <w:color w:val="808080"/>
    </w:rPr>
  </w:style>
  <w:style w:type="paragraph" w:styleId="ListContinue4">
    <w:name w:val="List Continue 4"/>
    <w:basedOn w:val="Normal"/>
    <w:semiHidden/>
    <w:locked/>
    <w:rsid w:val="0090165F"/>
    <w:pPr>
      <w:spacing w:after="120"/>
      <w:ind w:left="1132"/>
    </w:pPr>
  </w:style>
  <w:style w:type="numbering" w:styleId="111111">
    <w:name w:val="Outline List 2"/>
    <w:basedOn w:val="NoList"/>
    <w:semiHidden/>
    <w:locked/>
    <w:rsid w:val="00E45954"/>
    <w:pPr>
      <w:numPr>
        <w:numId w:val="11"/>
      </w:numPr>
    </w:pPr>
  </w:style>
  <w:style w:type="paragraph" w:styleId="TOC1">
    <w:name w:val="toc 1"/>
    <w:basedOn w:val="Normal"/>
    <w:next w:val="Normal"/>
    <w:autoRedefine/>
    <w:uiPriority w:val="39"/>
    <w:semiHidden/>
    <w:qFormat/>
    <w:locked/>
    <w:rsid w:val="002A469C"/>
    <w:pPr>
      <w:tabs>
        <w:tab w:val="right" w:leader="dot" w:pos="9060"/>
      </w:tabs>
      <w:spacing w:after="0"/>
      <w:ind w:left="720" w:hanging="720"/>
    </w:pPr>
    <w:rPr>
      <w:b/>
      <w:noProof/>
    </w:rPr>
  </w:style>
  <w:style w:type="paragraph" w:styleId="TOC2">
    <w:name w:val="toc 2"/>
    <w:basedOn w:val="Normal"/>
    <w:next w:val="Normal"/>
    <w:autoRedefine/>
    <w:uiPriority w:val="39"/>
    <w:semiHidden/>
    <w:qFormat/>
    <w:locked/>
    <w:rsid w:val="002A469C"/>
    <w:pPr>
      <w:tabs>
        <w:tab w:val="right" w:leader="dot" w:pos="9060"/>
      </w:tabs>
      <w:spacing w:before="0" w:after="0"/>
      <w:ind w:left="958" w:hanging="720"/>
    </w:pPr>
    <w:rPr>
      <w:b/>
      <w:i/>
      <w:noProof/>
    </w:rPr>
  </w:style>
  <w:style w:type="paragraph" w:styleId="TOC4">
    <w:name w:val="toc 4"/>
    <w:basedOn w:val="Normal"/>
    <w:next w:val="Normal"/>
    <w:autoRedefine/>
    <w:uiPriority w:val="39"/>
    <w:semiHidden/>
    <w:locked/>
    <w:rsid w:val="00814FC0"/>
    <w:pPr>
      <w:tabs>
        <w:tab w:val="left" w:pos="1440"/>
        <w:tab w:val="right" w:leader="dot" w:pos="9060"/>
      </w:tabs>
      <w:spacing w:before="0" w:after="0"/>
      <w:ind w:left="1440" w:hanging="720"/>
    </w:pPr>
    <w:rPr>
      <w:noProof/>
    </w:rPr>
  </w:style>
  <w:style w:type="character" w:styleId="Hyperlink">
    <w:name w:val="Hyperlink"/>
    <w:uiPriority w:val="99"/>
    <w:unhideWhenUsed/>
    <w:locked/>
    <w:rsid w:val="0024557E"/>
    <w:rPr>
      <w:color w:val="0000FF"/>
      <w:u w:val="single"/>
    </w:rPr>
  </w:style>
  <w:style w:type="paragraph" w:styleId="TOCHeading">
    <w:name w:val="TOC Heading"/>
    <w:basedOn w:val="Heading1"/>
    <w:next w:val="Normal"/>
    <w:uiPriority w:val="39"/>
    <w:qFormat/>
    <w:locked/>
    <w:rsid w:val="002A469C"/>
    <w:pPr>
      <w:numPr>
        <w:numId w:val="0"/>
      </w:numPr>
      <w:spacing w:before="480" w:after="0" w:line="276" w:lineRule="auto"/>
      <w:outlineLvl w:val="9"/>
    </w:pPr>
    <w:rPr>
      <w:rFonts w:ascii="Cambria" w:hAnsi="Cambria"/>
      <w:color w:val="365F91"/>
      <w:lang w:val="en-US"/>
    </w:rPr>
  </w:style>
  <w:style w:type="paragraph" w:styleId="EndnoteText">
    <w:name w:val="endnote text"/>
    <w:basedOn w:val="Normal"/>
    <w:link w:val="EndnoteTextChar1"/>
    <w:semiHidden/>
    <w:rsid w:val="000E130A"/>
    <w:pPr>
      <w:spacing w:before="0" w:after="0"/>
    </w:pPr>
    <w:rPr>
      <w:sz w:val="20"/>
    </w:rPr>
  </w:style>
  <w:style w:type="character" w:customStyle="1" w:styleId="EndnoteTextChar1">
    <w:name w:val="Endnote Text Char1"/>
    <w:link w:val="EndnoteText"/>
    <w:rsid w:val="000E130A"/>
    <w:rPr>
      <w:rFonts w:ascii="Arial" w:eastAsia="MS Mincho" w:hAnsi="Arial"/>
      <w:lang w:val="en-AU" w:eastAsia="en-AU" w:bidi="ar-SA"/>
    </w:rPr>
  </w:style>
  <w:style w:type="character" w:styleId="EndnoteReference">
    <w:name w:val="endnote reference"/>
    <w:semiHidden/>
    <w:rsid w:val="000A1DB8"/>
    <w:rPr>
      <w:rFonts w:ascii="Arial" w:hAnsi="Arial"/>
      <w:sz w:val="20"/>
      <w:vertAlign w:val="superscript"/>
    </w:rPr>
  </w:style>
  <w:style w:type="numbering" w:styleId="1ai">
    <w:name w:val="Outline List 1"/>
    <w:basedOn w:val="NoList"/>
    <w:semiHidden/>
    <w:locked/>
    <w:rsid w:val="00E45954"/>
    <w:pPr>
      <w:numPr>
        <w:numId w:val="12"/>
      </w:numPr>
    </w:pPr>
  </w:style>
  <w:style w:type="numbering" w:styleId="ArticleSection">
    <w:name w:val="Outline List 3"/>
    <w:basedOn w:val="NoList"/>
    <w:semiHidden/>
    <w:locked/>
    <w:rsid w:val="00E45954"/>
    <w:pPr>
      <w:numPr>
        <w:numId w:val="13"/>
      </w:numPr>
    </w:pPr>
  </w:style>
  <w:style w:type="paragraph" w:styleId="BlockText">
    <w:name w:val="Block Text"/>
    <w:basedOn w:val="Normal"/>
    <w:semiHidden/>
    <w:locked/>
    <w:rsid w:val="00E45954"/>
    <w:pPr>
      <w:spacing w:after="120"/>
      <w:ind w:left="1440" w:right="1440"/>
    </w:pPr>
  </w:style>
  <w:style w:type="paragraph" w:styleId="BodyText">
    <w:name w:val="Body Text"/>
    <w:basedOn w:val="Normal"/>
    <w:locked/>
    <w:rsid w:val="00E45954"/>
    <w:pPr>
      <w:spacing w:after="120"/>
    </w:pPr>
  </w:style>
  <w:style w:type="paragraph" w:styleId="BodyText2">
    <w:name w:val="Body Text 2"/>
    <w:basedOn w:val="Normal"/>
    <w:semiHidden/>
    <w:locked/>
    <w:rsid w:val="00E45954"/>
    <w:pPr>
      <w:spacing w:after="120" w:line="480" w:lineRule="auto"/>
    </w:pPr>
  </w:style>
  <w:style w:type="paragraph" w:styleId="BodyText3">
    <w:name w:val="Body Text 3"/>
    <w:basedOn w:val="Normal"/>
    <w:semiHidden/>
    <w:locked/>
    <w:rsid w:val="00E45954"/>
    <w:pPr>
      <w:spacing w:after="120"/>
    </w:pPr>
    <w:rPr>
      <w:sz w:val="16"/>
      <w:szCs w:val="16"/>
    </w:rPr>
  </w:style>
  <w:style w:type="paragraph" w:styleId="BodyTextFirstIndent">
    <w:name w:val="Body Text First Indent"/>
    <w:basedOn w:val="BodyText"/>
    <w:semiHidden/>
    <w:locked/>
    <w:rsid w:val="00E45954"/>
    <w:pPr>
      <w:ind w:firstLine="210"/>
    </w:pPr>
  </w:style>
  <w:style w:type="paragraph" w:styleId="BodyTextIndent">
    <w:name w:val="Body Text Indent"/>
    <w:basedOn w:val="Normal"/>
    <w:semiHidden/>
    <w:locked/>
    <w:rsid w:val="00E45954"/>
    <w:pPr>
      <w:spacing w:after="120"/>
      <w:ind w:left="283"/>
    </w:pPr>
  </w:style>
  <w:style w:type="paragraph" w:styleId="BodyTextFirstIndent2">
    <w:name w:val="Body Text First Indent 2"/>
    <w:basedOn w:val="BodyTextIndent"/>
    <w:semiHidden/>
    <w:locked/>
    <w:rsid w:val="00E45954"/>
    <w:pPr>
      <w:ind w:firstLine="210"/>
    </w:pPr>
  </w:style>
  <w:style w:type="paragraph" w:styleId="BodyTextIndent2">
    <w:name w:val="Body Text Indent 2"/>
    <w:basedOn w:val="Normal"/>
    <w:semiHidden/>
    <w:locked/>
    <w:rsid w:val="00E45954"/>
    <w:pPr>
      <w:spacing w:after="120" w:line="480" w:lineRule="auto"/>
      <w:ind w:left="283"/>
    </w:pPr>
  </w:style>
  <w:style w:type="paragraph" w:styleId="BodyTextIndent3">
    <w:name w:val="Body Text Indent 3"/>
    <w:basedOn w:val="Normal"/>
    <w:semiHidden/>
    <w:locked/>
    <w:rsid w:val="00E45954"/>
    <w:pPr>
      <w:spacing w:after="120"/>
      <w:ind w:left="283"/>
    </w:pPr>
    <w:rPr>
      <w:sz w:val="16"/>
      <w:szCs w:val="16"/>
    </w:rPr>
  </w:style>
  <w:style w:type="paragraph" w:styleId="Closing">
    <w:name w:val="Closing"/>
    <w:basedOn w:val="Normal"/>
    <w:semiHidden/>
    <w:locked/>
    <w:rsid w:val="00E45954"/>
    <w:pPr>
      <w:ind w:left="4252"/>
    </w:pPr>
  </w:style>
  <w:style w:type="paragraph" w:styleId="Date">
    <w:name w:val="Date"/>
    <w:basedOn w:val="Normal"/>
    <w:next w:val="Normal"/>
    <w:semiHidden/>
    <w:locked/>
    <w:rsid w:val="00C33104"/>
    <w:pPr>
      <w:spacing w:before="120" w:after="120"/>
      <w:jc w:val="right"/>
    </w:pPr>
    <w:rPr>
      <w:color w:val="595959"/>
      <w:sz w:val="26"/>
    </w:rPr>
  </w:style>
  <w:style w:type="paragraph" w:styleId="E-mailSignature">
    <w:name w:val="E-mail Signature"/>
    <w:basedOn w:val="Normal"/>
    <w:semiHidden/>
    <w:locked/>
    <w:rsid w:val="00E45954"/>
  </w:style>
  <w:style w:type="character" w:styleId="Emphasis">
    <w:name w:val="Emphasis"/>
    <w:qFormat/>
    <w:locked/>
    <w:rsid w:val="002A469C"/>
    <w:rPr>
      <w:i/>
      <w:iCs/>
    </w:rPr>
  </w:style>
  <w:style w:type="paragraph" w:styleId="EnvelopeAddress">
    <w:name w:val="envelope address"/>
    <w:basedOn w:val="Normal"/>
    <w:semiHidden/>
    <w:locked/>
    <w:rsid w:val="000A1DB8"/>
    <w:pPr>
      <w:framePr w:w="7920" w:h="1980" w:hRule="exact" w:hSpace="180" w:wrap="auto" w:hAnchor="page" w:xAlign="center" w:yAlign="bottom"/>
      <w:spacing w:before="0" w:after="0"/>
      <w:ind w:left="2880"/>
    </w:pPr>
    <w:rPr>
      <w:rFonts w:cs="Arial"/>
    </w:rPr>
  </w:style>
  <w:style w:type="paragraph" w:styleId="EnvelopeReturn">
    <w:name w:val="envelope return"/>
    <w:basedOn w:val="Normal"/>
    <w:semiHidden/>
    <w:locked/>
    <w:rsid w:val="00E45954"/>
    <w:rPr>
      <w:rFonts w:cs="Arial"/>
      <w:sz w:val="20"/>
    </w:rPr>
  </w:style>
  <w:style w:type="character" w:styleId="FootnoteReference">
    <w:name w:val="footnote reference"/>
    <w:aliases w:val="Footnotes refss,Footnote number,Footnote"/>
    <w:rsid w:val="000A1DB8"/>
    <w:rPr>
      <w:rFonts w:ascii="Arial" w:hAnsi="Arial"/>
      <w:sz w:val="20"/>
      <w:vertAlign w:val="superscript"/>
    </w:rPr>
  </w:style>
  <w:style w:type="paragraph" w:styleId="FootnoteText">
    <w:name w:val="footnote text"/>
    <w:aliases w:val="Footnote Text Char1 Char,Footnote Text Char Char Char,Footnote Text Char Char Char Char Char Char Char Char Char Char Char,Footnote Text Char Char Char Char Char Char Char Char,Footnote Text Char2 Char, Char,Char,FA Fu"/>
    <w:basedOn w:val="Normal"/>
    <w:link w:val="FootnoteTextChar"/>
    <w:uiPriority w:val="99"/>
    <w:rsid w:val="000E130A"/>
    <w:pPr>
      <w:spacing w:before="0" w:after="0"/>
    </w:pPr>
    <w:rPr>
      <w:sz w:val="20"/>
    </w:rPr>
  </w:style>
  <w:style w:type="character" w:styleId="HTMLAcronym">
    <w:name w:val="HTML Acronym"/>
    <w:basedOn w:val="DefaultParagraphFont"/>
    <w:semiHidden/>
    <w:locked/>
    <w:rsid w:val="00E45954"/>
  </w:style>
  <w:style w:type="paragraph" w:styleId="HTMLAddress">
    <w:name w:val="HTML Address"/>
    <w:basedOn w:val="Normal"/>
    <w:semiHidden/>
    <w:locked/>
    <w:rsid w:val="00E45954"/>
    <w:rPr>
      <w:i/>
      <w:iCs/>
    </w:rPr>
  </w:style>
  <w:style w:type="character" w:styleId="HTMLCite">
    <w:name w:val="HTML Cite"/>
    <w:semiHidden/>
    <w:locked/>
    <w:rsid w:val="00E45954"/>
    <w:rPr>
      <w:i/>
      <w:iCs/>
    </w:rPr>
  </w:style>
  <w:style w:type="character" w:styleId="HTMLCode">
    <w:name w:val="HTML Code"/>
    <w:semiHidden/>
    <w:locked/>
    <w:rsid w:val="00E45954"/>
    <w:rPr>
      <w:rFonts w:ascii="Courier New" w:hAnsi="Courier New" w:cs="Courier New"/>
      <w:sz w:val="20"/>
      <w:szCs w:val="20"/>
    </w:rPr>
  </w:style>
  <w:style w:type="character" w:styleId="HTMLDefinition">
    <w:name w:val="HTML Definition"/>
    <w:semiHidden/>
    <w:locked/>
    <w:rsid w:val="00E45954"/>
    <w:rPr>
      <w:i/>
      <w:iCs/>
    </w:rPr>
  </w:style>
  <w:style w:type="character" w:styleId="HTMLKeyboard">
    <w:name w:val="HTML Keyboard"/>
    <w:semiHidden/>
    <w:locked/>
    <w:rsid w:val="00E45954"/>
    <w:rPr>
      <w:rFonts w:ascii="Courier New" w:hAnsi="Courier New" w:cs="Courier New"/>
      <w:sz w:val="20"/>
      <w:szCs w:val="20"/>
    </w:rPr>
  </w:style>
  <w:style w:type="paragraph" w:styleId="HTMLPreformatted">
    <w:name w:val="HTML Preformatted"/>
    <w:basedOn w:val="Normal"/>
    <w:semiHidden/>
    <w:locked/>
    <w:rsid w:val="00E45954"/>
    <w:rPr>
      <w:rFonts w:ascii="Courier New" w:hAnsi="Courier New" w:cs="Courier New"/>
      <w:sz w:val="20"/>
    </w:rPr>
  </w:style>
  <w:style w:type="character" w:styleId="HTMLSample">
    <w:name w:val="HTML Sample"/>
    <w:semiHidden/>
    <w:locked/>
    <w:rsid w:val="00E45954"/>
    <w:rPr>
      <w:rFonts w:ascii="Courier New" w:hAnsi="Courier New" w:cs="Courier New"/>
    </w:rPr>
  </w:style>
  <w:style w:type="character" w:styleId="HTMLTypewriter">
    <w:name w:val="HTML Typewriter"/>
    <w:semiHidden/>
    <w:locked/>
    <w:rsid w:val="00E45954"/>
    <w:rPr>
      <w:rFonts w:ascii="Courier New" w:hAnsi="Courier New" w:cs="Courier New"/>
      <w:sz w:val="20"/>
      <w:szCs w:val="20"/>
    </w:rPr>
  </w:style>
  <w:style w:type="character" w:styleId="HTMLVariable">
    <w:name w:val="HTML Variable"/>
    <w:semiHidden/>
    <w:locked/>
    <w:rsid w:val="00E45954"/>
    <w:rPr>
      <w:i/>
      <w:iCs/>
    </w:rPr>
  </w:style>
  <w:style w:type="character" w:styleId="LineNumber">
    <w:name w:val="line number"/>
    <w:basedOn w:val="DefaultParagraphFont"/>
    <w:semiHidden/>
    <w:locked/>
    <w:rsid w:val="00E45954"/>
  </w:style>
  <w:style w:type="paragraph" w:styleId="List">
    <w:name w:val="List"/>
    <w:basedOn w:val="Normal"/>
    <w:semiHidden/>
    <w:locked/>
    <w:rsid w:val="00E45954"/>
    <w:pPr>
      <w:ind w:left="283" w:hanging="283"/>
    </w:pPr>
  </w:style>
  <w:style w:type="paragraph" w:styleId="List2">
    <w:name w:val="List 2"/>
    <w:basedOn w:val="Normal"/>
    <w:semiHidden/>
    <w:locked/>
    <w:rsid w:val="00E45954"/>
    <w:pPr>
      <w:ind w:left="566" w:hanging="283"/>
    </w:pPr>
  </w:style>
  <w:style w:type="paragraph" w:styleId="List3">
    <w:name w:val="List 3"/>
    <w:basedOn w:val="Normal"/>
    <w:semiHidden/>
    <w:locked/>
    <w:rsid w:val="00E45954"/>
    <w:pPr>
      <w:ind w:left="849" w:hanging="283"/>
    </w:pPr>
  </w:style>
  <w:style w:type="paragraph" w:styleId="List4">
    <w:name w:val="List 4"/>
    <w:basedOn w:val="Normal"/>
    <w:semiHidden/>
    <w:locked/>
    <w:rsid w:val="00E45954"/>
    <w:pPr>
      <w:ind w:left="1132" w:hanging="283"/>
    </w:pPr>
  </w:style>
  <w:style w:type="paragraph" w:styleId="List5">
    <w:name w:val="List 5"/>
    <w:basedOn w:val="Normal"/>
    <w:semiHidden/>
    <w:locked/>
    <w:rsid w:val="00E45954"/>
    <w:pPr>
      <w:ind w:left="1415" w:hanging="283"/>
    </w:pPr>
  </w:style>
  <w:style w:type="paragraph" w:styleId="ListBullet">
    <w:name w:val="List Bullet"/>
    <w:basedOn w:val="Normal"/>
    <w:semiHidden/>
    <w:locked/>
    <w:rsid w:val="00E45954"/>
    <w:pPr>
      <w:tabs>
        <w:tab w:val="num" w:pos="360"/>
      </w:tabs>
      <w:ind w:left="360" w:hanging="360"/>
    </w:pPr>
  </w:style>
  <w:style w:type="paragraph" w:styleId="ListBullet2">
    <w:name w:val="List Bullet 2"/>
    <w:basedOn w:val="Normal"/>
    <w:semiHidden/>
    <w:locked/>
    <w:rsid w:val="00E45954"/>
    <w:pPr>
      <w:numPr>
        <w:numId w:val="2"/>
      </w:numPr>
    </w:pPr>
  </w:style>
  <w:style w:type="paragraph" w:styleId="ListBullet3">
    <w:name w:val="List Bullet 3"/>
    <w:basedOn w:val="Normal"/>
    <w:semiHidden/>
    <w:locked/>
    <w:rsid w:val="00E45954"/>
    <w:pPr>
      <w:numPr>
        <w:numId w:val="3"/>
      </w:numPr>
    </w:pPr>
  </w:style>
  <w:style w:type="paragraph" w:styleId="ListBullet4">
    <w:name w:val="List Bullet 4"/>
    <w:basedOn w:val="Normal"/>
    <w:semiHidden/>
    <w:locked/>
    <w:rsid w:val="00E45954"/>
    <w:pPr>
      <w:numPr>
        <w:numId w:val="4"/>
      </w:numPr>
    </w:pPr>
  </w:style>
  <w:style w:type="paragraph" w:styleId="ListBullet5">
    <w:name w:val="List Bullet 5"/>
    <w:basedOn w:val="Normal"/>
    <w:semiHidden/>
    <w:locked/>
    <w:rsid w:val="00E45954"/>
    <w:pPr>
      <w:numPr>
        <w:numId w:val="5"/>
      </w:numPr>
    </w:pPr>
  </w:style>
  <w:style w:type="paragraph" w:styleId="ListContinue">
    <w:name w:val="List Continue"/>
    <w:basedOn w:val="Normal"/>
    <w:semiHidden/>
    <w:locked/>
    <w:rsid w:val="00E45954"/>
    <w:pPr>
      <w:spacing w:after="120"/>
      <w:ind w:left="283"/>
    </w:pPr>
  </w:style>
  <w:style w:type="paragraph" w:styleId="ListContinue2">
    <w:name w:val="List Continue 2"/>
    <w:basedOn w:val="Normal"/>
    <w:semiHidden/>
    <w:locked/>
    <w:rsid w:val="00E45954"/>
    <w:pPr>
      <w:spacing w:after="120"/>
      <w:ind w:left="566"/>
    </w:pPr>
  </w:style>
  <w:style w:type="paragraph" w:styleId="ListContinue3">
    <w:name w:val="List Continue 3"/>
    <w:basedOn w:val="Normal"/>
    <w:semiHidden/>
    <w:locked/>
    <w:rsid w:val="00E45954"/>
    <w:pPr>
      <w:spacing w:after="120"/>
      <w:ind w:left="849"/>
    </w:pPr>
  </w:style>
  <w:style w:type="paragraph" w:styleId="ListContinue5">
    <w:name w:val="List Continue 5"/>
    <w:basedOn w:val="Normal"/>
    <w:semiHidden/>
    <w:locked/>
    <w:rsid w:val="00E45954"/>
    <w:pPr>
      <w:spacing w:after="120"/>
      <w:ind w:left="1415"/>
    </w:pPr>
  </w:style>
  <w:style w:type="paragraph" w:styleId="ListNumber">
    <w:name w:val="List Number"/>
    <w:basedOn w:val="Normal"/>
    <w:semiHidden/>
    <w:locked/>
    <w:rsid w:val="00E45954"/>
    <w:pPr>
      <w:numPr>
        <w:numId w:val="6"/>
      </w:numPr>
    </w:pPr>
  </w:style>
  <w:style w:type="paragraph" w:styleId="ListNumber2">
    <w:name w:val="List Number 2"/>
    <w:basedOn w:val="Normal"/>
    <w:semiHidden/>
    <w:locked/>
    <w:rsid w:val="00E45954"/>
    <w:pPr>
      <w:numPr>
        <w:numId w:val="9"/>
      </w:numPr>
    </w:pPr>
  </w:style>
  <w:style w:type="paragraph" w:styleId="ListNumber3">
    <w:name w:val="List Number 3"/>
    <w:basedOn w:val="Normal"/>
    <w:semiHidden/>
    <w:locked/>
    <w:rsid w:val="00E45954"/>
    <w:pPr>
      <w:numPr>
        <w:numId w:val="10"/>
      </w:numPr>
    </w:pPr>
  </w:style>
  <w:style w:type="paragraph" w:styleId="ListNumber4">
    <w:name w:val="List Number 4"/>
    <w:basedOn w:val="Normal"/>
    <w:semiHidden/>
    <w:locked/>
    <w:rsid w:val="00E45954"/>
    <w:pPr>
      <w:numPr>
        <w:numId w:val="7"/>
      </w:numPr>
    </w:pPr>
  </w:style>
  <w:style w:type="paragraph" w:styleId="ListNumber5">
    <w:name w:val="List Number 5"/>
    <w:basedOn w:val="Normal"/>
    <w:semiHidden/>
    <w:locked/>
    <w:rsid w:val="00E45954"/>
    <w:pPr>
      <w:numPr>
        <w:numId w:val="8"/>
      </w:numPr>
    </w:pPr>
  </w:style>
  <w:style w:type="paragraph" w:styleId="MessageHeader">
    <w:name w:val="Message Header"/>
    <w:basedOn w:val="Normal"/>
    <w:semiHidden/>
    <w:locked/>
    <w:rsid w:val="00E45954"/>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semiHidden/>
    <w:locked/>
    <w:rsid w:val="00E45954"/>
    <w:rPr>
      <w:rFonts w:ascii="Times New Roman" w:hAnsi="Times New Roman"/>
    </w:rPr>
  </w:style>
  <w:style w:type="paragraph" w:styleId="NormalIndent">
    <w:name w:val="Normal Indent"/>
    <w:basedOn w:val="Normal"/>
    <w:semiHidden/>
    <w:locked/>
    <w:rsid w:val="00E45954"/>
    <w:pPr>
      <w:ind w:left="720"/>
    </w:pPr>
  </w:style>
  <w:style w:type="paragraph" w:styleId="NoteHeading">
    <w:name w:val="Note Heading"/>
    <w:basedOn w:val="Normal"/>
    <w:next w:val="Normal"/>
    <w:semiHidden/>
    <w:locked/>
    <w:rsid w:val="00E45954"/>
  </w:style>
  <w:style w:type="character" w:styleId="PageNumber">
    <w:name w:val="page number"/>
    <w:basedOn w:val="DefaultParagraphFont"/>
    <w:semiHidden/>
    <w:locked/>
    <w:rsid w:val="00E45954"/>
  </w:style>
  <w:style w:type="paragraph" w:styleId="PlainText">
    <w:name w:val="Plain Text"/>
    <w:basedOn w:val="Normal"/>
    <w:semiHidden/>
    <w:locked/>
    <w:rsid w:val="00E45954"/>
    <w:rPr>
      <w:rFonts w:ascii="Courier New" w:hAnsi="Courier New" w:cs="Courier New"/>
      <w:sz w:val="20"/>
    </w:rPr>
  </w:style>
  <w:style w:type="paragraph" w:styleId="Salutation">
    <w:name w:val="Salutation"/>
    <w:basedOn w:val="Normal"/>
    <w:next w:val="Normal"/>
    <w:semiHidden/>
    <w:locked/>
    <w:rsid w:val="00E45954"/>
  </w:style>
  <w:style w:type="paragraph" w:styleId="Signature">
    <w:name w:val="Signature"/>
    <w:basedOn w:val="Normal"/>
    <w:semiHidden/>
    <w:locked/>
    <w:rsid w:val="00E45954"/>
    <w:pPr>
      <w:ind w:left="4252"/>
    </w:pPr>
  </w:style>
  <w:style w:type="paragraph" w:styleId="Subtitle">
    <w:name w:val="Subtitle"/>
    <w:basedOn w:val="Normal"/>
    <w:link w:val="SubtitleChar"/>
    <w:qFormat/>
    <w:locked/>
    <w:rsid w:val="002A469C"/>
    <w:pPr>
      <w:spacing w:after="60"/>
      <w:jc w:val="center"/>
      <w:outlineLvl w:val="1"/>
    </w:pPr>
    <w:rPr>
      <w:rFonts w:cs="Arial"/>
    </w:rPr>
  </w:style>
  <w:style w:type="table" w:styleId="Table3Deffects1">
    <w:name w:val="Table 3D effects 1"/>
    <w:basedOn w:val="TableNormal"/>
    <w:semiHidden/>
    <w:locked/>
    <w:rsid w:val="00E45954"/>
    <w:pPr>
      <w:spacing w:after="24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45954"/>
    <w:pPr>
      <w:spacing w:after="24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45954"/>
    <w:pPr>
      <w:spacing w:after="24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45954"/>
    <w:pPr>
      <w:spacing w:after="24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45954"/>
    <w:pPr>
      <w:spacing w:after="24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45954"/>
    <w:pPr>
      <w:spacing w:after="24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45954"/>
    <w:pPr>
      <w:spacing w:after="24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45954"/>
    <w:pPr>
      <w:spacing w:after="24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45954"/>
    <w:pPr>
      <w:spacing w:after="24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45954"/>
    <w:pPr>
      <w:spacing w:after="24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45954"/>
    <w:pPr>
      <w:spacing w:after="24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45954"/>
    <w:pPr>
      <w:spacing w:after="24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45954"/>
    <w:pPr>
      <w:spacing w:after="24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45954"/>
    <w:pPr>
      <w:spacing w:after="24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45954"/>
    <w:pPr>
      <w:spacing w:after="24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45954"/>
    <w:pPr>
      <w:spacing w:after="24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locked/>
    <w:rsid w:val="00E45954"/>
    <w:pPr>
      <w:spacing w:after="24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locked/>
    <w:rsid w:val="00E45954"/>
    <w:pPr>
      <w:spacing w:after="24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45954"/>
    <w:pPr>
      <w:spacing w:after="24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45954"/>
    <w:pPr>
      <w:spacing w:after="24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45954"/>
    <w:pPr>
      <w:spacing w:after="24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45954"/>
    <w:pPr>
      <w:spacing w:after="24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45954"/>
    <w:pPr>
      <w:spacing w:after="24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45954"/>
    <w:pPr>
      <w:spacing w:after="24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45954"/>
    <w:pPr>
      <w:spacing w:after="24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45954"/>
    <w:pPr>
      <w:spacing w:after="24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45954"/>
    <w:pPr>
      <w:spacing w:after="24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45954"/>
    <w:pPr>
      <w:spacing w:after="24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45954"/>
    <w:pPr>
      <w:spacing w:after="24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45954"/>
    <w:pPr>
      <w:spacing w:after="24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45954"/>
    <w:pPr>
      <w:spacing w:after="24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45954"/>
    <w:pPr>
      <w:spacing w:after="24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45954"/>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45954"/>
    <w:pPr>
      <w:spacing w:after="24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45954"/>
    <w:pPr>
      <w:spacing w:after="24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45954"/>
    <w:pPr>
      <w:spacing w:after="24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locked/>
    <w:rsid w:val="002A469C"/>
    <w:pPr>
      <w:spacing w:after="60"/>
      <w:jc w:val="center"/>
      <w:outlineLvl w:val="0"/>
    </w:pPr>
    <w:rPr>
      <w:rFonts w:cs="Arial"/>
      <w:b/>
      <w:bCs/>
      <w:kern w:val="28"/>
      <w:sz w:val="32"/>
      <w:szCs w:val="32"/>
    </w:rPr>
  </w:style>
  <w:style w:type="character" w:styleId="FollowedHyperlink">
    <w:name w:val="FollowedHyperlink"/>
    <w:semiHidden/>
    <w:locked/>
    <w:rsid w:val="00E45954"/>
    <w:rPr>
      <w:color w:val="800080"/>
      <w:u w:val="single"/>
    </w:rPr>
  </w:style>
  <w:style w:type="paragraph" w:customStyle="1" w:styleId="MainTitle">
    <w:name w:val="Main Title"/>
    <w:semiHidden/>
    <w:rsid w:val="00FD01B5"/>
    <w:pPr>
      <w:spacing w:line="740" w:lineRule="exact"/>
      <w:contextualSpacing/>
      <w:jc w:val="right"/>
    </w:pPr>
    <w:rPr>
      <w:rFonts w:ascii="Arial" w:hAnsi="Arial"/>
      <w:bCs/>
      <w:color w:val="237BBC"/>
      <w:kern w:val="32"/>
      <w:sz w:val="56"/>
      <w:szCs w:val="32"/>
    </w:rPr>
  </w:style>
  <w:style w:type="paragraph" w:customStyle="1" w:styleId="HeaderFooter">
    <w:name w:val="Header &amp; Footer"/>
    <w:basedOn w:val="Normal"/>
    <w:semiHidden/>
    <w:rsid w:val="00591951"/>
    <w:pPr>
      <w:spacing w:line="200" w:lineRule="exact"/>
      <w:jc w:val="both"/>
    </w:pPr>
    <w:rPr>
      <w:rFonts w:eastAsia="Times New Roman" w:cs="ArialMT"/>
      <w:sz w:val="16"/>
    </w:rPr>
  </w:style>
  <w:style w:type="paragraph" w:customStyle="1" w:styleId="LogoType">
    <w:name w:val="Logo Type"/>
    <w:basedOn w:val="Header"/>
    <w:semiHidden/>
    <w:rsid w:val="00591951"/>
    <w:pPr>
      <w:pBdr>
        <w:bottom w:val="single" w:sz="4" w:space="4" w:color="auto"/>
      </w:pBdr>
      <w:tabs>
        <w:tab w:val="clear" w:pos="4513"/>
        <w:tab w:val="clear" w:pos="9026"/>
        <w:tab w:val="left" w:pos="4686"/>
        <w:tab w:val="left" w:pos="7088"/>
        <w:tab w:val="left" w:pos="7242"/>
      </w:tabs>
      <w:spacing w:before="0" w:line="320" w:lineRule="exact"/>
    </w:pPr>
    <w:rPr>
      <w:rFonts w:cs="ArialMT"/>
      <w:b/>
      <w:color w:val="808080"/>
      <w:spacing w:val="-20"/>
      <w:sz w:val="32"/>
    </w:rPr>
  </w:style>
  <w:style w:type="paragraph" w:styleId="BalloonText">
    <w:name w:val="Balloon Text"/>
    <w:basedOn w:val="Normal"/>
    <w:link w:val="BalloonTextChar"/>
    <w:semiHidden/>
    <w:locked/>
    <w:rsid w:val="00A96892"/>
    <w:pPr>
      <w:spacing w:before="0" w:after="0"/>
    </w:pPr>
    <w:rPr>
      <w:rFonts w:ascii="Tahoma" w:hAnsi="Tahoma" w:cs="Tahoma"/>
      <w:sz w:val="16"/>
      <w:szCs w:val="16"/>
    </w:rPr>
  </w:style>
  <w:style w:type="character" w:customStyle="1" w:styleId="BalloonTextChar">
    <w:name w:val="Balloon Text Char"/>
    <w:link w:val="BalloonText"/>
    <w:rsid w:val="00A96892"/>
    <w:rPr>
      <w:rFonts w:ascii="Tahoma" w:eastAsia="MS Mincho" w:hAnsi="Tahoma" w:cs="Tahoma"/>
      <w:sz w:val="16"/>
      <w:szCs w:val="16"/>
    </w:rPr>
  </w:style>
  <w:style w:type="character" w:customStyle="1" w:styleId="CharChar">
    <w:name w:val="Char Char"/>
    <w:semiHidden/>
    <w:locked/>
    <w:rsid w:val="000A48AC"/>
    <w:rPr>
      <w:rFonts w:ascii="Arial" w:hAnsi="Arial" w:cs="Arial"/>
      <w:lang w:val="en-AU" w:eastAsia="en-AU" w:bidi="ar-SA"/>
    </w:rPr>
  </w:style>
  <w:style w:type="character" w:customStyle="1" w:styleId="EndnoteTextChar">
    <w:name w:val="Endnote Text Char"/>
    <w:locked/>
    <w:rsid w:val="00EB6A76"/>
    <w:rPr>
      <w:rFonts w:ascii="Arial" w:hAnsi="Arial"/>
      <w:lang w:bidi="ar-SA"/>
    </w:rPr>
  </w:style>
  <w:style w:type="character" w:customStyle="1" w:styleId="SubtitleChar">
    <w:name w:val="Subtitle Char"/>
    <w:link w:val="Subtitle"/>
    <w:rsid w:val="00323C73"/>
    <w:rPr>
      <w:rFonts w:ascii="Arial" w:eastAsia="MS Mincho" w:hAnsi="Arial" w:cs="Arial"/>
      <w:color w:val="000000"/>
      <w:sz w:val="24"/>
      <w:lang w:eastAsia="en-US"/>
    </w:rPr>
  </w:style>
  <w:style w:type="paragraph" w:customStyle="1" w:styleId="SubmissionNormal">
    <w:name w:val="Submission Normal"/>
    <w:basedOn w:val="Normal"/>
    <w:link w:val="SubmissionNormalChar"/>
    <w:rsid w:val="00B34946"/>
    <w:pPr>
      <w:tabs>
        <w:tab w:val="num" w:pos="720"/>
      </w:tabs>
    </w:pPr>
    <w:rPr>
      <w:rFonts w:eastAsia="Times New Roman"/>
    </w:rPr>
  </w:style>
  <w:style w:type="character" w:customStyle="1" w:styleId="SubmissionNormalChar">
    <w:name w:val="Submission Normal Char"/>
    <w:link w:val="SubmissionNormal"/>
    <w:rsid w:val="00B34946"/>
    <w:rPr>
      <w:rFonts w:ascii="Arial" w:hAnsi="Arial"/>
      <w:sz w:val="24"/>
      <w:szCs w:val="24"/>
    </w:rPr>
  </w:style>
  <w:style w:type="paragraph" w:customStyle="1" w:styleId="coveraddresses">
    <w:name w:val="cover addresses"/>
    <w:basedOn w:val="Footer"/>
    <w:rsid w:val="0003606D"/>
    <w:pPr>
      <w:spacing w:after="40"/>
    </w:pPr>
    <w:rPr>
      <w:sz w:val="16"/>
      <w:szCs w:val="16"/>
    </w:rPr>
  </w:style>
  <w:style w:type="paragraph" w:customStyle="1" w:styleId="Default">
    <w:name w:val="Default"/>
    <w:rsid w:val="00C9783C"/>
    <w:pPr>
      <w:autoSpaceDE w:val="0"/>
      <w:autoSpaceDN w:val="0"/>
      <w:adjustRightInd w:val="0"/>
    </w:pPr>
    <w:rPr>
      <w:color w:val="000000"/>
      <w:sz w:val="24"/>
      <w:szCs w:val="24"/>
    </w:rPr>
  </w:style>
  <w:style w:type="character" w:customStyle="1" w:styleId="FootnoteTextChar">
    <w:name w:val="Footnote Text Char"/>
    <w:aliases w:val="Footnote Text Char1 Char Char,Footnote Text Char Char Char Char,Footnote Text Char Char Char Char Char Char Char Char Char Char Char Char,Footnote Text Char Char Char Char Char Char Char Char Char,Footnote Text Char2 Char Char"/>
    <w:link w:val="FootnoteText"/>
    <w:uiPriority w:val="99"/>
    <w:locked/>
    <w:rsid w:val="00C9783C"/>
    <w:rPr>
      <w:rFonts w:ascii="Arial" w:eastAsia="MS Mincho" w:hAnsi="Arial"/>
    </w:rPr>
  </w:style>
  <w:style w:type="paragraph" w:styleId="ListParagraph">
    <w:name w:val="List Paragraph"/>
    <w:basedOn w:val="Normal"/>
    <w:uiPriority w:val="34"/>
    <w:qFormat/>
    <w:rsid w:val="00255E6D"/>
    <w:pPr>
      <w:ind w:left="720"/>
    </w:pPr>
    <w:rPr>
      <w:rFonts w:eastAsia="Times New Roman"/>
    </w:rPr>
  </w:style>
  <w:style w:type="paragraph" w:customStyle="1" w:styleId="subsection">
    <w:name w:val="subsection"/>
    <w:basedOn w:val="Normal"/>
    <w:rsid w:val="005C44DA"/>
    <w:pPr>
      <w:spacing w:before="100" w:beforeAutospacing="1" w:after="100" w:afterAutospacing="1"/>
    </w:pPr>
    <w:rPr>
      <w:rFonts w:ascii="Times New Roman" w:eastAsia="Times New Roman" w:hAnsi="Times New Roman"/>
    </w:rPr>
  </w:style>
  <w:style w:type="paragraph" w:customStyle="1" w:styleId="paragraph">
    <w:name w:val="paragraph"/>
    <w:basedOn w:val="Normal"/>
    <w:rsid w:val="005C44DA"/>
    <w:pPr>
      <w:spacing w:before="100" w:beforeAutospacing="1" w:after="100" w:afterAutospacing="1"/>
    </w:pPr>
    <w:rPr>
      <w:rFonts w:ascii="Times New Roman" w:eastAsia="Times New Roman" w:hAnsi="Times New Roman"/>
    </w:rPr>
  </w:style>
  <w:style w:type="paragraph" w:customStyle="1" w:styleId="paragraphsub">
    <w:name w:val="paragraphsub"/>
    <w:basedOn w:val="Normal"/>
    <w:rsid w:val="005C44DA"/>
    <w:pPr>
      <w:spacing w:before="100" w:beforeAutospacing="1" w:after="100" w:afterAutospacing="1"/>
    </w:pPr>
    <w:rPr>
      <w:rFonts w:ascii="Times New Roman" w:eastAsia="Times New Roman" w:hAnsi="Times New Roman"/>
    </w:rPr>
  </w:style>
  <w:style w:type="paragraph" w:customStyle="1" w:styleId="subsection2">
    <w:name w:val="subsection2"/>
    <w:basedOn w:val="Normal"/>
    <w:rsid w:val="005C44DA"/>
    <w:pPr>
      <w:spacing w:before="100" w:beforeAutospacing="1" w:after="100" w:afterAutospacing="1"/>
    </w:pPr>
    <w:rPr>
      <w:rFonts w:ascii="Times New Roman" w:eastAsia="Times New Roman" w:hAnsi="Times New Roman"/>
    </w:rPr>
  </w:style>
  <w:style w:type="paragraph" w:customStyle="1" w:styleId="Body">
    <w:name w:val="Body"/>
    <w:rsid w:val="00DA0B9A"/>
    <w:pPr>
      <w:spacing w:after="120"/>
    </w:pPr>
    <w:rPr>
      <w:rFonts w:eastAsia="Arial Unicode MS" w:hAnsi="Arial Unicode MS" w:cs="Arial Unicode MS"/>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299011">
      <w:bodyDiv w:val="1"/>
      <w:marLeft w:val="0"/>
      <w:marRight w:val="0"/>
      <w:marTop w:val="0"/>
      <w:marBottom w:val="0"/>
      <w:divBdr>
        <w:top w:val="none" w:sz="0" w:space="0" w:color="auto"/>
        <w:left w:val="none" w:sz="0" w:space="0" w:color="auto"/>
        <w:bottom w:val="none" w:sz="0" w:space="0" w:color="auto"/>
        <w:right w:val="none" w:sz="0" w:space="0" w:color="auto"/>
      </w:divBdr>
    </w:div>
    <w:div w:id="668950756">
      <w:bodyDiv w:val="1"/>
      <w:marLeft w:val="0"/>
      <w:marRight w:val="0"/>
      <w:marTop w:val="0"/>
      <w:marBottom w:val="0"/>
      <w:divBdr>
        <w:top w:val="none" w:sz="0" w:space="0" w:color="auto"/>
        <w:left w:val="none" w:sz="0" w:space="0" w:color="auto"/>
        <w:bottom w:val="none" w:sz="0" w:space="0" w:color="auto"/>
        <w:right w:val="none" w:sz="0" w:space="0" w:color="auto"/>
      </w:divBdr>
    </w:div>
    <w:div w:id="737367260">
      <w:bodyDiv w:val="1"/>
      <w:marLeft w:val="0"/>
      <w:marRight w:val="0"/>
      <w:marTop w:val="0"/>
      <w:marBottom w:val="0"/>
      <w:divBdr>
        <w:top w:val="none" w:sz="0" w:space="0" w:color="auto"/>
        <w:left w:val="none" w:sz="0" w:space="0" w:color="auto"/>
        <w:bottom w:val="none" w:sz="0" w:space="0" w:color="auto"/>
        <w:right w:val="none" w:sz="0" w:space="0" w:color="auto"/>
      </w:divBdr>
    </w:div>
    <w:div w:id="779758380">
      <w:bodyDiv w:val="1"/>
      <w:marLeft w:val="0"/>
      <w:marRight w:val="0"/>
      <w:marTop w:val="0"/>
      <w:marBottom w:val="0"/>
      <w:divBdr>
        <w:top w:val="none" w:sz="0" w:space="0" w:color="auto"/>
        <w:left w:val="none" w:sz="0" w:space="0" w:color="auto"/>
        <w:bottom w:val="none" w:sz="0" w:space="0" w:color="auto"/>
        <w:right w:val="none" w:sz="0" w:space="0" w:color="auto"/>
      </w:divBdr>
    </w:div>
    <w:div w:id="977101536">
      <w:bodyDiv w:val="1"/>
      <w:marLeft w:val="0"/>
      <w:marRight w:val="0"/>
      <w:marTop w:val="0"/>
      <w:marBottom w:val="0"/>
      <w:divBdr>
        <w:top w:val="none" w:sz="0" w:space="0" w:color="auto"/>
        <w:left w:val="none" w:sz="0" w:space="0" w:color="auto"/>
        <w:bottom w:val="none" w:sz="0" w:space="0" w:color="auto"/>
        <w:right w:val="none" w:sz="0" w:space="0" w:color="auto"/>
      </w:divBdr>
    </w:div>
    <w:div w:id="1114398921">
      <w:bodyDiv w:val="1"/>
      <w:marLeft w:val="0"/>
      <w:marRight w:val="0"/>
      <w:marTop w:val="0"/>
      <w:marBottom w:val="0"/>
      <w:divBdr>
        <w:top w:val="none" w:sz="0" w:space="0" w:color="auto"/>
        <w:left w:val="none" w:sz="0" w:space="0" w:color="auto"/>
        <w:bottom w:val="none" w:sz="0" w:space="0" w:color="auto"/>
        <w:right w:val="none" w:sz="0" w:space="0" w:color="auto"/>
      </w:divBdr>
    </w:div>
    <w:div w:id="1361276140">
      <w:bodyDiv w:val="1"/>
      <w:marLeft w:val="0"/>
      <w:marRight w:val="0"/>
      <w:marTop w:val="0"/>
      <w:marBottom w:val="0"/>
      <w:divBdr>
        <w:top w:val="none" w:sz="0" w:space="0" w:color="auto"/>
        <w:left w:val="none" w:sz="0" w:space="0" w:color="auto"/>
        <w:bottom w:val="none" w:sz="0" w:space="0" w:color="auto"/>
        <w:right w:val="none" w:sz="0" w:space="0" w:color="auto"/>
      </w:divBdr>
    </w:div>
    <w:div w:id="2029602560">
      <w:bodyDiv w:val="1"/>
      <w:marLeft w:val="0"/>
      <w:marRight w:val="0"/>
      <w:marTop w:val="0"/>
      <w:marBottom w:val="0"/>
      <w:divBdr>
        <w:top w:val="none" w:sz="0" w:space="0" w:color="auto"/>
        <w:left w:val="none" w:sz="0" w:space="0" w:color="auto"/>
        <w:bottom w:val="none" w:sz="0" w:space="0" w:color="auto"/>
        <w:right w:val="none" w:sz="0" w:space="0" w:color="auto"/>
      </w:divBdr>
    </w:div>
    <w:div w:id="2082017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umanrights.gov.au/department-social-services-dss" TargetMode="External"/><Relationship Id="rId4" Type="http://schemas.openxmlformats.org/officeDocument/2006/relationships/settings" Target="settings.xml"/><Relationship Id="rId9" Type="http://schemas.openxmlformats.org/officeDocument/2006/relationships/hyperlink" Target="http://www.humanrights.gov.au/department-social-services-ds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16FA9C-5C5A-4ECB-BAA7-AA63920AB1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25</Pages>
  <Words>8130</Words>
  <Characters>41554</Characters>
  <Application>Microsoft Office Word</Application>
  <DocSecurity>0</DocSecurity>
  <Lines>346</Lines>
  <Paragraphs>99</Paragraphs>
  <ScaleCrop>false</ScaleCrop>
  <HeadingPairs>
    <vt:vector size="2" baseType="variant">
      <vt:variant>
        <vt:lpstr>Title</vt:lpstr>
      </vt:variant>
      <vt:variant>
        <vt:i4>1</vt:i4>
      </vt:variant>
    </vt:vector>
  </HeadingPairs>
  <TitlesOfParts>
    <vt:vector size="1" baseType="lpstr">
      <vt:lpstr>Year</vt:lpstr>
    </vt:vector>
  </TitlesOfParts>
  <Company>Human Rights and Equal Opportunity Commission</Company>
  <LinksUpToDate>false</LinksUpToDate>
  <CharactersWithSpaces>49585</CharactersWithSpaces>
  <SharedDoc>false</SharedDoc>
  <HLinks>
    <vt:vector size="42" baseType="variant">
      <vt:variant>
        <vt:i4>1572920</vt:i4>
      </vt:variant>
      <vt:variant>
        <vt:i4>38</vt:i4>
      </vt:variant>
      <vt:variant>
        <vt:i4>0</vt:i4>
      </vt:variant>
      <vt:variant>
        <vt:i4>5</vt:i4>
      </vt:variant>
      <vt:variant>
        <vt:lpwstr/>
      </vt:variant>
      <vt:variant>
        <vt:lpwstr>_Toc209941772</vt:lpwstr>
      </vt:variant>
      <vt:variant>
        <vt:i4>1572920</vt:i4>
      </vt:variant>
      <vt:variant>
        <vt:i4>32</vt:i4>
      </vt:variant>
      <vt:variant>
        <vt:i4>0</vt:i4>
      </vt:variant>
      <vt:variant>
        <vt:i4>5</vt:i4>
      </vt:variant>
      <vt:variant>
        <vt:lpwstr/>
      </vt:variant>
      <vt:variant>
        <vt:lpwstr>_Toc209941771</vt:lpwstr>
      </vt:variant>
      <vt:variant>
        <vt:i4>1572920</vt:i4>
      </vt:variant>
      <vt:variant>
        <vt:i4>26</vt:i4>
      </vt:variant>
      <vt:variant>
        <vt:i4>0</vt:i4>
      </vt:variant>
      <vt:variant>
        <vt:i4>5</vt:i4>
      </vt:variant>
      <vt:variant>
        <vt:lpwstr/>
      </vt:variant>
      <vt:variant>
        <vt:lpwstr>_Toc209941770</vt:lpwstr>
      </vt:variant>
      <vt:variant>
        <vt:i4>1638456</vt:i4>
      </vt:variant>
      <vt:variant>
        <vt:i4>20</vt:i4>
      </vt:variant>
      <vt:variant>
        <vt:i4>0</vt:i4>
      </vt:variant>
      <vt:variant>
        <vt:i4>5</vt:i4>
      </vt:variant>
      <vt:variant>
        <vt:lpwstr/>
      </vt:variant>
      <vt:variant>
        <vt:lpwstr>_Toc209941769</vt:lpwstr>
      </vt:variant>
      <vt:variant>
        <vt:i4>1638456</vt:i4>
      </vt:variant>
      <vt:variant>
        <vt:i4>14</vt:i4>
      </vt:variant>
      <vt:variant>
        <vt:i4>0</vt:i4>
      </vt:variant>
      <vt:variant>
        <vt:i4>5</vt:i4>
      </vt:variant>
      <vt:variant>
        <vt:lpwstr/>
      </vt:variant>
      <vt:variant>
        <vt:lpwstr>_Toc209941768</vt:lpwstr>
      </vt:variant>
      <vt:variant>
        <vt:i4>1638456</vt:i4>
      </vt:variant>
      <vt:variant>
        <vt:i4>8</vt:i4>
      </vt:variant>
      <vt:variant>
        <vt:i4>0</vt:i4>
      </vt:variant>
      <vt:variant>
        <vt:i4>5</vt:i4>
      </vt:variant>
      <vt:variant>
        <vt:lpwstr/>
      </vt:variant>
      <vt:variant>
        <vt:lpwstr>_Toc209941767</vt:lpwstr>
      </vt:variant>
      <vt:variant>
        <vt:i4>1638456</vt:i4>
      </vt:variant>
      <vt:variant>
        <vt:i4>2</vt:i4>
      </vt:variant>
      <vt:variant>
        <vt:i4>0</vt:i4>
      </vt:variant>
      <vt:variant>
        <vt:i4>5</vt:i4>
      </vt:variant>
      <vt:variant>
        <vt:lpwstr/>
      </vt:variant>
      <vt:variant>
        <vt:lpwstr>_Toc209941766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dc:title>
  <dc:subject/>
  <dc:creator>Michelle Lindley</dc:creator>
  <cp:keywords/>
  <cp:lastModifiedBy>Michelle Lindley</cp:lastModifiedBy>
  <cp:revision>6</cp:revision>
  <cp:lastPrinted>2015-12-18T05:29:00Z</cp:lastPrinted>
  <dcterms:created xsi:type="dcterms:W3CDTF">2015-12-22T01:09:00Z</dcterms:created>
  <dcterms:modified xsi:type="dcterms:W3CDTF">2015-12-22T04:41:00Z</dcterms:modified>
</cp:coreProperties>
</file>