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3F" w:rsidRPr="003768EF" w:rsidRDefault="00B2661A" w:rsidP="005C293F">
      <w:pPr>
        <w:pStyle w:val="Title"/>
        <w:rPr>
          <w:color w:val="1F497D" w:themeColor="text2"/>
          <w:sz w:val="36"/>
          <w:szCs w:val="36"/>
        </w:rPr>
      </w:pPr>
      <w:r w:rsidRPr="003768EF">
        <w:rPr>
          <w:color w:val="1F497D" w:themeColor="text2"/>
          <w:sz w:val="36"/>
          <w:szCs w:val="36"/>
        </w:rPr>
        <w:t xml:space="preserve">Factsheet: </w:t>
      </w:r>
      <w:r w:rsidR="005C293F" w:rsidRPr="003768EF">
        <w:rPr>
          <w:color w:val="1F497D" w:themeColor="text2"/>
          <w:sz w:val="36"/>
          <w:szCs w:val="36"/>
        </w:rPr>
        <w:t>National framework</w:t>
      </w:r>
    </w:p>
    <w:p w:rsidR="005C293F" w:rsidRPr="003768EF" w:rsidRDefault="005C293F" w:rsidP="005C293F">
      <w:pPr>
        <w:rPr>
          <w:b/>
          <w:color w:val="1F497D" w:themeColor="text2"/>
          <w:sz w:val="28"/>
        </w:rPr>
      </w:pPr>
      <w:r w:rsidRPr="003768EF">
        <w:rPr>
          <w:b/>
          <w:color w:val="1F497D" w:themeColor="text2"/>
          <w:sz w:val="28"/>
        </w:rPr>
        <w:t>Background information</w:t>
      </w:r>
    </w:p>
    <w:p w:rsidR="005C293F" w:rsidRDefault="005C293F" w:rsidP="005C293F">
      <w:pPr>
        <w:rPr>
          <w:lang w:val="en-NZ"/>
        </w:rPr>
      </w:pPr>
      <w:r w:rsidRPr="00393FFE">
        <w:rPr>
          <w:lang w:val="en-NZ"/>
        </w:rPr>
        <w:t>Australia ha</w:t>
      </w:r>
      <w:r>
        <w:rPr>
          <w:lang w:val="en-NZ"/>
        </w:rPr>
        <w:t>s</w:t>
      </w:r>
      <w:r w:rsidRPr="00393FFE">
        <w:rPr>
          <w:lang w:val="en-NZ"/>
        </w:rPr>
        <w:t xml:space="preserve"> limited legislative protection of human rights and fundamental freedoms at the federal level</w:t>
      </w:r>
      <w:r>
        <w:rPr>
          <w:lang w:val="en-NZ"/>
        </w:rPr>
        <w:t>. Ma</w:t>
      </w:r>
      <w:r w:rsidRPr="00393FFE">
        <w:rPr>
          <w:lang w:val="en-NZ"/>
        </w:rPr>
        <w:t xml:space="preserve">ny of Australia’s human rights obligations </w:t>
      </w:r>
      <w:r>
        <w:rPr>
          <w:lang w:val="en-NZ"/>
        </w:rPr>
        <w:t xml:space="preserve">are </w:t>
      </w:r>
      <w:r w:rsidRPr="00393FFE">
        <w:rPr>
          <w:lang w:val="en-NZ"/>
        </w:rPr>
        <w:t>not directly in</w:t>
      </w:r>
      <w:r>
        <w:rPr>
          <w:lang w:val="en-NZ"/>
        </w:rPr>
        <w:t>corporated into Australian law.</w:t>
      </w:r>
    </w:p>
    <w:p w:rsidR="005C293F" w:rsidRDefault="005C293F" w:rsidP="005C293F">
      <w:pPr>
        <w:rPr>
          <w:lang w:val="en-NZ"/>
        </w:rPr>
      </w:pPr>
      <w:r>
        <w:rPr>
          <w:lang w:val="en-NZ"/>
        </w:rPr>
        <w:t xml:space="preserve">Australia released a National Human Rights Action Plan (NHRAP) in 2012. The NHRAP includes specific </w:t>
      </w:r>
      <w:r w:rsidR="003768EF">
        <w:rPr>
          <w:lang w:val="en-NZ"/>
        </w:rPr>
        <w:t xml:space="preserve">Government </w:t>
      </w:r>
      <w:r>
        <w:rPr>
          <w:lang w:val="en-NZ"/>
        </w:rPr>
        <w:t>actions to improve human rights and addresses the recommendations accepted during the last UPR.</w:t>
      </w:r>
      <w:r w:rsidR="00B2661A">
        <w:rPr>
          <w:rStyle w:val="EndnoteReference"/>
          <w:lang w:val="en-NZ"/>
        </w:rPr>
        <w:endnoteReference w:id="1"/>
      </w:r>
    </w:p>
    <w:p w:rsidR="005C293F" w:rsidRDefault="005C293F" w:rsidP="005C293F">
      <w:pPr>
        <w:rPr>
          <w:lang w:val="en-NZ"/>
        </w:rPr>
      </w:pPr>
      <w:r>
        <w:rPr>
          <w:lang w:val="en-NZ"/>
        </w:rPr>
        <w:t xml:space="preserve">Many of the actions committed to within the NHRAP have not occurred. </w:t>
      </w:r>
      <w:r w:rsidR="007C222B">
        <w:rPr>
          <w:lang w:val="en-NZ"/>
        </w:rPr>
        <w:t>A</w:t>
      </w:r>
      <w:r>
        <w:rPr>
          <w:lang w:val="en-NZ"/>
        </w:rPr>
        <w:t xml:space="preserve"> progress report on the implementation of the NHRAP to coincide with the second UPR</w:t>
      </w:r>
      <w:r w:rsidR="007C222B">
        <w:rPr>
          <w:lang w:val="en-NZ"/>
        </w:rPr>
        <w:t xml:space="preserve"> together with </w:t>
      </w:r>
      <w:r>
        <w:rPr>
          <w:lang w:val="en-NZ"/>
        </w:rPr>
        <w:t xml:space="preserve">a review of the </w:t>
      </w:r>
      <w:r w:rsidR="007C222B">
        <w:rPr>
          <w:lang w:val="en-NZ"/>
        </w:rPr>
        <w:t xml:space="preserve">2011 </w:t>
      </w:r>
      <w:r>
        <w:rPr>
          <w:lang w:val="en-NZ"/>
        </w:rPr>
        <w:t>Human Rights Framework have not been completed.</w:t>
      </w:r>
    </w:p>
    <w:p w:rsidR="005C293F" w:rsidRDefault="007C222B" w:rsidP="005C293F">
      <w:pPr>
        <w:rPr>
          <w:lang w:val="en-NZ"/>
        </w:rPr>
      </w:pPr>
      <w:r>
        <w:rPr>
          <w:lang w:val="en-NZ"/>
        </w:rPr>
        <w:t xml:space="preserve">The </w:t>
      </w:r>
      <w:r w:rsidR="005C293F">
        <w:rPr>
          <w:lang w:val="en-NZ"/>
        </w:rPr>
        <w:t xml:space="preserve">Parliamentary </w:t>
      </w:r>
      <w:r w:rsidR="005C293F" w:rsidRPr="00393FFE">
        <w:rPr>
          <w:lang w:val="en-NZ"/>
        </w:rPr>
        <w:t xml:space="preserve">Joint Committee on Human Rights </w:t>
      </w:r>
      <w:r w:rsidR="005C293F">
        <w:rPr>
          <w:lang w:val="en-NZ"/>
        </w:rPr>
        <w:t>(PJCHR)</w:t>
      </w:r>
      <w:r>
        <w:rPr>
          <w:lang w:val="en-NZ"/>
        </w:rPr>
        <w:t xml:space="preserve">, established in 2011, </w:t>
      </w:r>
      <w:r w:rsidR="005C293F" w:rsidRPr="00393FFE">
        <w:rPr>
          <w:lang w:val="en-NZ"/>
        </w:rPr>
        <w:t xml:space="preserve">assesses </w:t>
      </w:r>
      <w:r w:rsidR="005C293F">
        <w:rPr>
          <w:lang w:val="en-NZ"/>
        </w:rPr>
        <w:t xml:space="preserve">whether legislation is consistent </w:t>
      </w:r>
      <w:r w:rsidR="005C293F" w:rsidRPr="00393FFE">
        <w:rPr>
          <w:lang w:val="en-NZ"/>
        </w:rPr>
        <w:t>with Australia’s human rights obligations.</w:t>
      </w:r>
      <w:r w:rsidR="005C293F">
        <w:rPr>
          <w:lang w:val="en-NZ"/>
        </w:rPr>
        <w:t xml:space="preserve"> A</w:t>
      </w:r>
      <w:r w:rsidR="005C293F" w:rsidRPr="00393FFE">
        <w:rPr>
          <w:lang w:val="en-NZ"/>
        </w:rPr>
        <w:t xml:space="preserve">ll </w:t>
      </w:r>
      <w:r w:rsidR="005C293F">
        <w:rPr>
          <w:lang w:val="en-NZ"/>
        </w:rPr>
        <w:t xml:space="preserve">federal </w:t>
      </w:r>
      <w:r w:rsidR="005C293F" w:rsidRPr="00393FFE">
        <w:rPr>
          <w:lang w:val="en-NZ"/>
        </w:rPr>
        <w:t xml:space="preserve">legislation </w:t>
      </w:r>
      <w:r w:rsidR="005C293F">
        <w:rPr>
          <w:lang w:val="en-NZ"/>
        </w:rPr>
        <w:t xml:space="preserve">is required </w:t>
      </w:r>
      <w:r w:rsidR="005C293F" w:rsidRPr="00393FFE">
        <w:rPr>
          <w:lang w:val="en-NZ"/>
        </w:rPr>
        <w:t xml:space="preserve">to be accompanied </w:t>
      </w:r>
      <w:r w:rsidR="005C293F">
        <w:rPr>
          <w:lang w:val="en-NZ"/>
        </w:rPr>
        <w:t>by</w:t>
      </w:r>
      <w:r w:rsidR="005C293F" w:rsidRPr="00393FFE">
        <w:rPr>
          <w:lang w:val="en-NZ"/>
        </w:rPr>
        <w:t xml:space="preserve"> a </w:t>
      </w:r>
      <w:r w:rsidR="005C293F">
        <w:rPr>
          <w:lang w:val="en-NZ"/>
        </w:rPr>
        <w:t>‘</w:t>
      </w:r>
      <w:r w:rsidR="005C293F" w:rsidRPr="00393FFE">
        <w:rPr>
          <w:lang w:val="en-NZ"/>
        </w:rPr>
        <w:t xml:space="preserve">Statement of Compatibility </w:t>
      </w:r>
      <w:r w:rsidR="005C293F">
        <w:rPr>
          <w:lang w:val="en-NZ"/>
        </w:rPr>
        <w:t>with Human Rights’</w:t>
      </w:r>
      <w:r>
        <w:rPr>
          <w:lang w:val="en-NZ"/>
        </w:rPr>
        <w:t xml:space="preserve"> (SOC). </w:t>
      </w:r>
      <w:r w:rsidR="005C293F" w:rsidRPr="00393FFE">
        <w:rPr>
          <w:lang w:val="en-NZ"/>
        </w:rPr>
        <w:t xml:space="preserve">The </w:t>
      </w:r>
      <w:r w:rsidR="005C293F">
        <w:rPr>
          <w:lang w:val="en-NZ"/>
        </w:rPr>
        <w:t>PJCHR</w:t>
      </w:r>
      <w:r w:rsidR="005C293F" w:rsidRPr="00393FFE">
        <w:rPr>
          <w:lang w:val="en-NZ"/>
        </w:rPr>
        <w:t xml:space="preserve"> raise</w:t>
      </w:r>
      <w:r w:rsidR="005C293F">
        <w:rPr>
          <w:lang w:val="en-NZ"/>
        </w:rPr>
        <w:t>s</w:t>
      </w:r>
      <w:r w:rsidR="005C293F" w:rsidRPr="00393FFE">
        <w:rPr>
          <w:lang w:val="en-NZ"/>
        </w:rPr>
        <w:t xml:space="preserve"> concerns </w:t>
      </w:r>
      <w:r w:rsidR="005C293F">
        <w:rPr>
          <w:lang w:val="en-NZ"/>
        </w:rPr>
        <w:t xml:space="preserve">when they believe that legislation places an </w:t>
      </w:r>
      <w:r w:rsidR="005C293F" w:rsidRPr="00393FFE">
        <w:rPr>
          <w:lang w:val="en-NZ"/>
        </w:rPr>
        <w:t>unjustifiabl</w:t>
      </w:r>
      <w:r w:rsidR="005C293F">
        <w:rPr>
          <w:lang w:val="en-NZ"/>
        </w:rPr>
        <w:t>e</w:t>
      </w:r>
      <w:r w:rsidR="005C293F" w:rsidRPr="00393FFE">
        <w:rPr>
          <w:lang w:val="en-NZ"/>
        </w:rPr>
        <w:t xml:space="preserve"> </w:t>
      </w:r>
      <w:r w:rsidR="005C293F">
        <w:rPr>
          <w:lang w:val="en-NZ"/>
        </w:rPr>
        <w:t xml:space="preserve">limitation on </w:t>
      </w:r>
      <w:r w:rsidR="005C293F" w:rsidRPr="00393FFE">
        <w:rPr>
          <w:lang w:val="en-NZ"/>
        </w:rPr>
        <w:t>human rights</w:t>
      </w:r>
      <w:r w:rsidR="005C293F">
        <w:rPr>
          <w:lang w:val="en-NZ"/>
        </w:rPr>
        <w:t>, however legislators are under no obligation to amend bills to reflect these concerns.</w:t>
      </w:r>
      <w:r w:rsidR="00B2661A">
        <w:rPr>
          <w:rStyle w:val="EndnoteReference"/>
          <w:lang w:val="en-NZ"/>
        </w:rPr>
        <w:endnoteReference w:id="2"/>
      </w:r>
      <w:r w:rsidR="005C293F">
        <w:rPr>
          <w:lang w:val="en-NZ"/>
        </w:rPr>
        <w:t xml:space="preserve"> </w:t>
      </w:r>
    </w:p>
    <w:p w:rsidR="005C293F" w:rsidRDefault="005C293F" w:rsidP="005C293F">
      <w:pPr>
        <w:rPr>
          <w:lang w:val="en-NZ"/>
        </w:rPr>
      </w:pPr>
      <w:r>
        <w:rPr>
          <w:lang w:val="en-NZ"/>
        </w:rPr>
        <w:t xml:space="preserve">Since the last UPR, </w:t>
      </w:r>
      <w:r w:rsidRPr="003F7CCD">
        <w:rPr>
          <w:lang w:val="en-NZ"/>
        </w:rPr>
        <w:t xml:space="preserve">Australia </w:t>
      </w:r>
      <w:r>
        <w:rPr>
          <w:lang w:val="en-NZ"/>
        </w:rPr>
        <w:t xml:space="preserve">has </w:t>
      </w:r>
      <w:r w:rsidRPr="00393FFE">
        <w:rPr>
          <w:lang w:val="en-NZ"/>
        </w:rPr>
        <w:t>establish</w:t>
      </w:r>
      <w:r>
        <w:rPr>
          <w:lang w:val="en-NZ"/>
        </w:rPr>
        <w:t>ed</w:t>
      </w:r>
      <w:r w:rsidRPr="00393FFE">
        <w:rPr>
          <w:lang w:val="en-NZ"/>
        </w:rPr>
        <w:t xml:space="preserve"> </w:t>
      </w:r>
      <w:r>
        <w:rPr>
          <w:lang w:val="en-NZ"/>
        </w:rPr>
        <w:t xml:space="preserve">a full-time Race Discrimination Commissioner, an </w:t>
      </w:r>
      <w:r w:rsidRPr="00393FFE">
        <w:rPr>
          <w:lang w:val="en-NZ"/>
        </w:rPr>
        <w:t xml:space="preserve">Age Discrimination Commissioner and </w:t>
      </w:r>
      <w:r>
        <w:rPr>
          <w:lang w:val="en-NZ"/>
        </w:rPr>
        <w:t xml:space="preserve">a </w:t>
      </w:r>
      <w:r w:rsidRPr="00393FFE">
        <w:rPr>
          <w:lang w:val="en-NZ"/>
        </w:rPr>
        <w:t>National Children’s Commissioner</w:t>
      </w:r>
      <w:r>
        <w:rPr>
          <w:lang w:val="en-NZ"/>
        </w:rPr>
        <w:t xml:space="preserve">. The </w:t>
      </w:r>
      <w:r w:rsidRPr="00393FFE">
        <w:rPr>
          <w:lang w:val="en-NZ"/>
        </w:rPr>
        <w:t>National Children’s Commissioner</w:t>
      </w:r>
      <w:r>
        <w:rPr>
          <w:lang w:val="en-NZ"/>
        </w:rPr>
        <w:t xml:space="preserve"> is required to report annually to Parliament on the status of enjoyment of human rights by children. Australia also appointed a </w:t>
      </w:r>
      <w:r w:rsidRPr="00393FFE">
        <w:rPr>
          <w:lang w:val="en-NZ"/>
        </w:rPr>
        <w:t>Human Rights Commissioner focused on</w:t>
      </w:r>
      <w:r>
        <w:rPr>
          <w:lang w:val="en-NZ"/>
        </w:rPr>
        <w:t xml:space="preserve"> the</w:t>
      </w:r>
      <w:r w:rsidRPr="00393FFE">
        <w:rPr>
          <w:lang w:val="en-NZ"/>
        </w:rPr>
        <w:t xml:space="preserve"> protection of fundamental freedoms as well as the rights of lesbian, gay, bisexual, </w:t>
      </w:r>
      <w:proofErr w:type="gramStart"/>
      <w:r w:rsidRPr="00393FFE">
        <w:rPr>
          <w:lang w:val="en-NZ"/>
        </w:rPr>
        <w:t>trans</w:t>
      </w:r>
      <w:proofErr w:type="gramEnd"/>
      <w:r w:rsidRPr="00393FFE">
        <w:rPr>
          <w:lang w:val="en-NZ"/>
        </w:rPr>
        <w:t>, gender diverse and intersex people</w:t>
      </w:r>
      <w:r>
        <w:rPr>
          <w:lang w:val="en-NZ"/>
        </w:rPr>
        <w:t>. Currently, there is no Commissioner solely</w:t>
      </w:r>
      <w:r w:rsidRPr="001C2E0C">
        <w:rPr>
          <w:lang w:val="en-NZ"/>
        </w:rPr>
        <w:t xml:space="preserve"> </w:t>
      </w:r>
      <w:r>
        <w:rPr>
          <w:lang w:val="en-NZ"/>
        </w:rPr>
        <w:t>dedicated to disability discrimination.</w:t>
      </w:r>
      <w:r w:rsidR="00B2661A">
        <w:rPr>
          <w:rStyle w:val="EndnoteReference"/>
          <w:lang w:val="en-NZ"/>
        </w:rPr>
        <w:endnoteReference w:id="3"/>
      </w:r>
      <w:r>
        <w:rPr>
          <w:lang w:val="en-NZ"/>
        </w:rPr>
        <w:t xml:space="preserve"> </w:t>
      </w:r>
    </w:p>
    <w:p w:rsidR="005C293F" w:rsidRPr="003768EF" w:rsidRDefault="005C293F" w:rsidP="005C293F">
      <w:pPr>
        <w:rPr>
          <w:b/>
          <w:color w:val="1F497D" w:themeColor="text2"/>
          <w:sz w:val="28"/>
        </w:rPr>
      </w:pPr>
      <w:r w:rsidRPr="003768EF">
        <w:rPr>
          <w:b/>
          <w:color w:val="1F497D" w:themeColor="text2"/>
          <w:sz w:val="28"/>
        </w:rPr>
        <w:t>Key issue</w:t>
      </w:r>
    </w:p>
    <w:p w:rsidR="005C293F" w:rsidRDefault="005C293F" w:rsidP="005C293F">
      <w:r>
        <w:rPr>
          <w:lang w:val="en-NZ"/>
        </w:rPr>
        <w:t>The lack of a bill of rights or a federal Human Rights Act means that many human rights protections are implied through common law. This framework requires self-restraint from legislators to not override these protections. In recent years, migration and counter-terro</w:t>
      </w:r>
      <w:bookmarkStart w:id="0" w:name="_GoBack"/>
      <w:bookmarkEnd w:id="0"/>
      <w:r>
        <w:rPr>
          <w:lang w:val="en-NZ"/>
        </w:rPr>
        <w:t>rism legislation that conflict with human rights principles have been passed by Parliament.</w:t>
      </w:r>
      <w:r w:rsidR="00B2661A">
        <w:rPr>
          <w:rStyle w:val="EndnoteReference"/>
          <w:lang w:val="en-NZ"/>
        </w:rPr>
        <w:endnoteReference w:id="4"/>
      </w:r>
    </w:p>
    <w:p w:rsidR="005C293F" w:rsidRPr="00A94795" w:rsidRDefault="005C293F" w:rsidP="005C293F">
      <w:pPr>
        <w:rPr>
          <w:b/>
          <w:color w:val="1F497D" w:themeColor="text2"/>
          <w:sz w:val="28"/>
        </w:rPr>
      </w:pPr>
      <w:r w:rsidRPr="00A94795">
        <w:rPr>
          <w:b/>
          <w:color w:val="1F497D" w:themeColor="text2"/>
          <w:sz w:val="28"/>
        </w:rPr>
        <w:t xml:space="preserve">Recommendation </w:t>
      </w:r>
    </w:p>
    <w:p w:rsidR="00732CE4" w:rsidRPr="005C293F" w:rsidRDefault="005C293F" w:rsidP="005C293F">
      <w:r w:rsidRPr="00393FFE">
        <w:rPr>
          <w:b/>
          <w:i/>
        </w:rPr>
        <w:t>Australia’s human rights obligations be directly incorporated into Australian la</w:t>
      </w:r>
      <w:r w:rsidR="00B2661A">
        <w:rPr>
          <w:b/>
          <w:i/>
        </w:rPr>
        <w:t>w</w:t>
      </w:r>
    </w:p>
    <w:sectPr w:rsidR="00732CE4" w:rsidRPr="005C293F" w:rsidSect="00B2661A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851" w:right="1418" w:bottom="1531" w:left="1418" w:header="17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E4" w:rsidRDefault="00732CE4" w:rsidP="00F14C6D">
      <w:r>
        <w:separator/>
      </w:r>
    </w:p>
  </w:endnote>
  <w:endnote w:type="continuationSeparator" w:id="0">
    <w:p w:rsidR="00732CE4" w:rsidRDefault="00732CE4" w:rsidP="00F14C6D">
      <w:r>
        <w:continuationSeparator/>
      </w:r>
    </w:p>
  </w:endnote>
  <w:endnote w:id="1">
    <w:p w:rsidR="00B2661A" w:rsidRDefault="00B2661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DE698F" w:rsidRPr="00DE698F">
        <w:t xml:space="preserve">Australian Government, </w:t>
      </w:r>
      <w:r w:rsidR="00DE698F" w:rsidRPr="00DE698F">
        <w:rPr>
          <w:i/>
        </w:rPr>
        <w:t>National Action Plan on Human Rights</w:t>
      </w:r>
      <w:r w:rsidR="00DE698F" w:rsidRPr="00DE698F">
        <w:t xml:space="preserve">. At </w:t>
      </w:r>
      <w:hyperlink r:id="rId1" w:history="1">
        <w:r w:rsidR="00DE698F" w:rsidRPr="001D6E39">
          <w:rPr>
            <w:rStyle w:val="Hyperlink"/>
          </w:rPr>
          <w:t>http://www.ag.gov.au/Consultations/Documents/NationalHumanRightsActionPlan/National%20Human%20Rights%20Plan.pdf</w:t>
        </w:r>
      </w:hyperlink>
      <w:r w:rsidR="00DE698F">
        <w:t xml:space="preserve"> </w:t>
      </w:r>
      <w:r w:rsidR="00DE698F" w:rsidRPr="00DE698F">
        <w:t xml:space="preserve"> (viewed </w:t>
      </w:r>
      <w:r w:rsidR="00DE698F">
        <w:t>22 June 2015</w:t>
      </w:r>
      <w:r w:rsidR="00DE698F" w:rsidRPr="00DE698F">
        <w:t>).</w:t>
      </w:r>
    </w:p>
  </w:endnote>
  <w:endnote w:id="2">
    <w:p w:rsidR="00B2661A" w:rsidRDefault="00B2661A">
      <w:pPr>
        <w:pStyle w:val="EndnoteText"/>
      </w:pPr>
      <w:r>
        <w:rPr>
          <w:rStyle w:val="EndnoteReference"/>
        </w:rPr>
        <w:endnoteRef/>
      </w:r>
      <w:r w:rsidR="00DE698F">
        <w:t xml:space="preserve"> </w:t>
      </w:r>
      <w:r w:rsidR="00DE698F" w:rsidRPr="008B09DB">
        <w:rPr>
          <w:rFonts w:cs="Arial"/>
        </w:rPr>
        <w:t xml:space="preserve">The </w:t>
      </w:r>
      <w:r w:rsidR="00DE698F" w:rsidRPr="008B09DB">
        <w:rPr>
          <w:rFonts w:cs="Arial"/>
          <w:i/>
        </w:rPr>
        <w:t>Human Rights (Parliamentary Scrutiny) Act 2011</w:t>
      </w:r>
      <w:r w:rsidR="00DE698F" w:rsidRPr="008B09DB">
        <w:rPr>
          <w:rFonts w:cs="Arial"/>
        </w:rPr>
        <w:t xml:space="preserve"> (Cth). </w:t>
      </w:r>
      <w:r w:rsidR="00DE698F" w:rsidRPr="00840E6D">
        <w:rPr>
          <w:rFonts w:cs="Arial"/>
        </w:rPr>
        <w:t xml:space="preserve">See further Parliament of Australia, </w:t>
      </w:r>
      <w:r w:rsidR="00DE698F" w:rsidRPr="00840E6D">
        <w:rPr>
          <w:rFonts w:cs="Arial"/>
          <w:i/>
        </w:rPr>
        <w:t>Parliamentary Joint Committee on Human Rights</w:t>
      </w:r>
      <w:r w:rsidR="00DE698F" w:rsidRPr="00840E6D">
        <w:rPr>
          <w:rFonts w:cs="Arial"/>
        </w:rPr>
        <w:t xml:space="preserve">, </w:t>
      </w:r>
      <w:hyperlink r:id="rId2" w:history="1">
        <w:r w:rsidR="00DE698F" w:rsidRPr="00840E6D">
          <w:rPr>
            <w:rStyle w:val="Hyperlink"/>
            <w:rFonts w:cs="Arial"/>
          </w:rPr>
          <w:t>http://www.aph.gov.au/Parliamentary_Business/Committees/Joint/Human_Rights</w:t>
        </w:r>
      </w:hyperlink>
      <w:r w:rsidR="00DE698F" w:rsidRPr="00840E6D">
        <w:rPr>
          <w:rFonts w:cs="Arial"/>
        </w:rPr>
        <w:t xml:space="preserve"> (viewed 2</w:t>
      </w:r>
      <w:r w:rsidR="00DE698F">
        <w:rPr>
          <w:rFonts w:cs="Arial"/>
        </w:rPr>
        <w:t>2 June</w:t>
      </w:r>
      <w:r w:rsidR="00DE698F" w:rsidRPr="00840E6D">
        <w:rPr>
          <w:rFonts w:cs="Arial"/>
        </w:rPr>
        <w:t xml:space="preserve"> 2015).</w:t>
      </w:r>
      <w:r w:rsidR="00FF6D05">
        <w:rPr>
          <w:rFonts w:cs="Arial"/>
        </w:rPr>
        <w:t xml:space="preserve"> </w:t>
      </w:r>
    </w:p>
  </w:endnote>
  <w:endnote w:id="3">
    <w:p w:rsidR="00B2661A" w:rsidRDefault="00B2661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FF6D05" w:rsidRPr="00FF6D05">
        <w:rPr>
          <w:i/>
        </w:rPr>
        <w:t>Sex and Age Discrimination Legislation Amendment Act 2011</w:t>
      </w:r>
      <w:r w:rsidR="00FF6D05" w:rsidRPr="00FF6D05">
        <w:t xml:space="preserve"> (Cth). See Australian Human Rights Commission, ‘Passage of sex and age discrimination legislation amendment a great day’, (Media Release, 25 May 2011). At </w:t>
      </w:r>
      <w:hyperlink r:id="rId3" w:history="1">
        <w:r w:rsidR="00FF6D05" w:rsidRPr="001D6E39">
          <w:rPr>
            <w:rStyle w:val="Hyperlink"/>
          </w:rPr>
          <w:t>https://www.humanrights.gov.au/news/media-releases/2011-media-release-passage-sex-and-age-discrimination-legislation-amendment</w:t>
        </w:r>
      </w:hyperlink>
      <w:r w:rsidR="00FF6D05">
        <w:t xml:space="preserve"> </w:t>
      </w:r>
      <w:r w:rsidR="00FF6D05" w:rsidRPr="00FF6D05">
        <w:t xml:space="preserve"> (viewed 2</w:t>
      </w:r>
      <w:r w:rsidR="00FF6D05">
        <w:t>2 June</w:t>
      </w:r>
      <w:r w:rsidR="00FF6D05" w:rsidRPr="00FF6D05">
        <w:t xml:space="preserve"> 2015). </w:t>
      </w:r>
      <w:r w:rsidR="00FF6D05" w:rsidRPr="00FF6D05">
        <w:rPr>
          <w:i/>
        </w:rPr>
        <w:t>Commission Amendment (National Children’s Commissioner) Act 2012</w:t>
      </w:r>
      <w:r w:rsidR="00FF6D05" w:rsidRPr="00FF6D05">
        <w:t xml:space="preserve"> (Cth). See Australian Human Rights Commission, ‘Commission welcomes inaugural Children’s Commissioner’, (Media Release, 25 February 2013). At </w:t>
      </w:r>
      <w:hyperlink r:id="rId4" w:history="1">
        <w:r w:rsidR="00FF6D05" w:rsidRPr="001D6E39">
          <w:rPr>
            <w:rStyle w:val="Hyperlink"/>
          </w:rPr>
          <w:t>https://www.humanrights.gov.au/news/media-releases/commission-welcomes-inaugural-children-s-commissioner</w:t>
        </w:r>
      </w:hyperlink>
      <w:r w:rsidR="00FF6D05">
        <w:t xml:space="preserve"> </w:t>
      </w:r>
      <w:r w:rsidR="00FF6D05" w:rsidRPr="00FF6D05">
        <w:t>(viewed 2</w:t>
      </w:r>
      <w:r w:rsidR="00FF6D05">
        <w:t>2 June</w:t>
      </w:r>
      <w:r w:rsidR="00FF6D05" w:rsidRPr="00FF6D05">
        <w:t xml:space="preserve"> 2015). </w:t>
      </w:r>
      <w:r w:rsidR="00FF6D05" w:rsidRPr="00840E6D">
        <w:rPr>
          <w:rFonts w:cs="Arial"/>
        </w:rPr>
        <w:t xml:space="preserve">Australian Human Rights Commission, ‘Race Discrimination Commissioner appointed’, (Media Release, 3 August 2011). At </w:t>
      </w:r>
      <w:hyperlink r:id="rId5" w:history="1">
        <w:r w:rsidR="00FF6D05" w:rsidRPr="00840E6D">
          <w:rPr>
            <w:rStyle w:val="Hyperlink"/>
            <w:rFonts w:cs="Arial"/>
          </w:rPr>
          <w:t>https://www.humanrights.gov.au/news/stories/2011-news-race-discrimination-commissioner-appointed</w:t>
        </w:r>
      </w:hyperlink>
      <w:r w:rsidR="00FF6D05" w:rsidRPr="00840E6D">
        <w:rPr>
          <w:rFonts w:cs="Arial"/>
        </w:rPr>
        <w:t xml:space="preserve"> (viewed 2</w:t>
      </w:r>
      <w:r w:rsidR="00FF6D05">
        <w:rPr>
          <w:rFonts w:cs="Arial"/>
        </w:rPr>
        <w:t>2 June</w:t>
      </w:r>
      <w:r w:rsidR="00FF6D05" w:rsidRPr="00840E6D">
        <w:rPr>
          <w:rFonts w:cs="Arial"/>
        </w:rPr>
        <w:t xml:space="preserve"> 2015); Australian Human Rights Commission, ‘Commission welcomes new Commissioner’, (Media Release, 18 December 2013). At </w:t>
      </w:r>
      <w:hyperlink r:id="rId6" w:history="1">
        <w:r w:rsidR="00FF6D05" w:rsidRPr="00840E6D">
          <w:rPr>
            <w:rStyle w:val="Hyperlink"/>
            <w:rFonts w:cs="Arial"/>
          </w:rPr>
          <w:t>https://www.humanrights.gov.au/news/media-releases/commission-welcomes-new-commissioner</w:t>
        </w:r>
      </w:hyperlink>
      <w:r w:rsidR="00FF6D05" w:rsidRPr="00840E6D">
        <w:rPr>
          <w:rFonts w:cs="Arial"/>
        </w:rPr>
        <w:t xml:space="preserve"> (viewed 2</w:t>
      </w:r>
      <w:r w:rsidR="00FF6D05">
        <w:rPr>
          <w:rFonts w:cs="Arial"/>
        </w:rPr>
        <w:t>2 June</w:t>
      </w:r>
      <w:r w:rsidR="00FF6D05" w:rsidRPr="00840E6D">
        <w:rPr>
          <w:rFonts w:cs="Arial"/>
        </w:rPr>
        <w:t xml:space="preserve"> 2015).</w:t>
      </w:r>
    </w:p>
  </w:endnote>
  <w:endnote w:id="4">
    <w:p w:rsidR="00B2661A" w:rsidRDefault="00B2661A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03E04" w:rsidRPr="00203E04">
        <w:rPr>
          <w:i/>
        </w:rPr>
        <w:t>Migration and Maritime Powers Legislation Amendment (Resolving the Asylum Legacy Caseload) Act 2014</w:t>
      </w:r>
      <w:r w:rsidR="00203E04">
        <w:t xml:space="preserve"> (Cth); </w:t>
      </w:r>
      <w:r w:rsidR="00203E04" w:rsidRPr="00FC6CAD">
        <w:rPr>
          <w:i/>
        </w:rPr>
        <w:t>Telecommunications (Interception and Access) Amendment (Data Retention) Bill 2015</w:t>
      </w:r>
      <w:r w:rsidR="00FC6CAD" w:rsidRPr="00FC6CAD">
        <w:rPr>
          <w:i/>
        </w:rPr>
        <w:t xml:space="preserve"> </w:t>
      </w:r>
      <w:r w:rsidR="00FC6CAD" w:rsidRPr="00FC6CAD">
        <w:t>(Cth);</w:t>
      </w:r>
      <w:r w:rsidR="00FC6CAD" w:rsidRPr="00FC6CAD">
        <w:rPr>
          <w:i/>
        </w:rPr>
        <w:t xml:space="preserve"> National Security Legislation Amendment Act (No. 1) 2014 </w:t>
      </w:r>
      <w:r w:rsidR="00FC6CAD" w:rsidRPr="00FC6CAD">
        <w:t>(Cth);</w:t>
      </w:r>
      <w:r w:rsidR="00FC6CAD" w:rsidRPr="00FC6CAD">
        <w:rPr>
          <w:i/>
        </w:rPr>
        <w:t xml:space="preserve"> Counter-Terrorism Legislation Amendment (Foreign Fighters) Act 2014 </w:t>
      </w:r>
      <w:r w:rsidR="00FC6CAD" w:rsidRPr="00FC6CAD">
        <w:t>(Cth);</w:t>
      </w:r>
      <w:r w:rsidR="00FC6CAD" w:rsidRPr="00FC6CAD">
        <w:rPr>
          <w:i/>
        </w:rPr>
        <w:t xml:space="preserve"> Counter-Terrorism Legislation Amendment Act (No. 1) 2014 </w:t>
      </w:r>
      <w:r w:rsidR="00FC6CAD" w:rsidRPr="00FC6CAD">
        <w:t>(Cth).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0" w:rsidRPr="0090165F" w:rsidRDefault="008D6140" w:rsidP="00162A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E4" w:rsidRDefault="00732CE4" w:rsidP="00F14C6D">
      <w:r>
        <w:separator/>
      </w:r>
    </w:p>
  </w:footnote>
  <w:footnote w:type="continuationSeparator" w:id="0">
    <w:p w:rsidR="00732CE4" w:rsidRDefault="00732CE4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40" w:rsidRDefault="008D6140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26" w:type="dxa"/>
      <w:tblLayout w:type="fixed"/>
      <w:tblLook w:val="00A0" w:firstRow="1" w:lastRow="0" w:firstColumn="1" w:lastColumn="0" w:noHBand="0" w:noVBand="0"/>
    </w:tblPr>
    <w:tblGrid>
      <w:gridCol w:w="3936"/>
      <w:gridCol w:w="1876"/>
      <w:gridCol w:w="3114"/>
    </w:tblGrid>
    <w:tr w:rsidR="0040234C" w:rsidRPr="008D1634" w:rsidTr="0040234C">
      <w:trPr>
        <w:trHeight w:val="993"/>
      </w:trPr>
      <w:tc>
        <w:tcPr>
          <w:tcW w:w="3936" w:type="dxa"/>
        </w:tcPr>
        <w:p w:rsidR="0040234C" w:rsidRPr="008D1634" w:rsidRDefault="003768EF" w:rsidP="00331013">
          <w:pPr>
            <w:pStyle w:val="Header"/>
            <w:tabs>
              <w:tab w:val="left" w:pos="4686"/>
              <w:tab w:val="left" w:pos="7088"/>
              <w:tab w:val="left" w:pos="7242"/>
            </w:tabs>
            <w:jc w:val="center"/>
            <w:rPr>
              <w:rFonts w:cs="ArialMT"/>
              <w:b/>
              <w:color w:val="000000"/>
              <w:spacing w:val="-20"/>
              <w:sz w:val="32"/>
              <w:lang w:val="en-US" w:eastAsia="en-US" w:bidi="en-US"/>
            </w:rPr>
          </w:pPr>
          <w:r>
            <w:rPr>
              <w:rFonts w:cs="ArialMT"/>
              <w:b/>
              <w:noProof/>
              <w:color w:val="000000"/>
              <w:spacing w:val="-20"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ge">
                  <wp:posOffset>547520</wp:posOffset>
                </wp:positionV>
                <wp:extent cx="2362200" cy="809625"/>
                <wp:effectExtent l="0" t="0" r="0" b="9525"/>
                <wp:wrapSquare wrapText="bothSides"/>
                <wp:docPr id="4" name="Picture 4" descr="AHRC-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RC-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76" w:type="dxa"/>
          <w:vAlign w:val="center"/>
        </w:tcPr>
        <w:p w:rsidR="0040234C" w:rsidRPr="008D1634" w:rsidRDefault="0040234C" w:rsidP="00331013">
          <w:pPr>
            <w:spacing w:before="0" w:after="0" w:line="210" w:lineRule="exact"/>
            <w:rPr>
              <w:rFonts w:cs="ArialMT"/>
              <w:i/>
              <w:color w:val="808080"/>
              <w:sz w:val="17"/>
              <w:lang w:val="en-US" w:eastAsia="en-US" w:bidi="en-US"/>
            </w:rPr>
          </w:pPr>
        </w:p>
      </w:tc>
      <w:tc>
        <w:tcPr>
          <w:tcW w:w="3114" w:type="dxa"/>
        </w:tcPr>
        <w:p w:rsidR="003768EF" w:rsidRDefault="002A0B95" w:rsidP="002A0B95">
          <w:pPr>
            <w:pStyle w:val="Header"/>
            <w:jc w:val="right"/>
            <w:rPr>
              <w:sz w:val="20"/>
            </w:rPr>
          </w:pPr>
          <w:r>
            <w:rPr>
              <w:sz w:val="20"/>
            </w:rPr>
            <w:br/>
          </w:r>
        </w:p>
        <w:p w:rsidR="0040234C" w:rsidRPr="003F717E" w:rsidRDefault="0040234C" w:rsidP="002A0B95">
          <w:pPr>
            <w:pStyle w:val="Header"/>
            <w:jc w:val="right"/>
            <w:rPr>
              <w:sz w:val="20"/>
            </w:rPr>
          </w:pPr>
          <w:r w:rsidRPr="00732CE4">
            <w:rPr>
              <w:sz w:val="20"/>
            </w:rPr>
            <w:t>Universal Periodic Review</w:t>
          </w:r>
          <w:r>
            <w:rPr>
              <w:b/>
              <w:sz w:val="20"/>
            </w:rPr>
            <w:t xml:space="preserve"> </w:t>
          </w:r>
        </w:p>
        <w:p w:rsidR="0040234C" w:rsidRPr="008D1634" w:rsidRDefault="0040234C" w:rsidP="00C87F1C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</w:tr>
  </w:tbl>
  <w:p w:rsidR="008D6140" w:rsidRPr="0040234C" w:rsidRDefault="008D6140" w:rsidP="005C293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 w15:restartNumberingAfterBreak="0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72E89"/>
    <w:multiLevelType w:val="hybridMultilevel"/>
    <w:tmpl w:val="DEC0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0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0"/>
  </w:num>
  <w:num w:numId="18">
    <w:abstractNumId w:val="18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5"/>
  </w:num>
  <w:num w:numId="23">
    <w:abstractNumId w:val="26"/>
  </w:num>
  <w:num w:numId="24">
    <w:abstractNumId w:val="27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9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BD"/>
    <w:rsid w:val="00000871"/>
    <w:rsid w:val="00041650"/>
    <w:rsid w:val="000579B1"/>
    <w:rsid w:val="000B0A5D"/>
    <w:rsid w:val="000B53EE"/>
    <w:rsid w:val="000E38FA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03E04"/>
    <w:rsid w:val="00214DBF"/>
    <w:rsid w:val="00215015"/>
    <w:rsid w:val="0024557E"/>
    <w:rsid w:val="002932DC"/>
    <w:rsid w:val="002A0B95"/>
    <w:rsid w:val="002B3332"/>
    <w:rsid w:val="002D0C4F"/>
    <w:rsid w:val="002D54E2"/>
    <w:rsid w:val="00310ED4"/>
    <w:rsid w:val="0031492A"/>
    <w:rsid w:val="00316C1A"/>
    <w:rsid w:val="00331013"/>
    <w:rsid w:val="003341CA"/>
    <w:rsid w:val="003731B3"/>
    <w:rsid w:val="003768EF"/>
    <w:rsid w:val="003C3D19"/>
    <w:rsid w:val="0040234C"/>
    <w:rsid w:val="00436828"/>
    <w:rsid w:val="0044690C"/>
    <w:rsid w:val="004510B9"/>
    <w:rsid w:val="00474063"/>
    <w:rsid w:val="004B3F64"/>
    <w:rsid w:val="004D6BC5"/>
    <w:rsid w:val="005024B5"/>
    <w:rsid w:val="00513540"/>
    <w:rsid w:val="0057396F"/>
    <w:rsid w:val="005747B5"/>
    <w:rsid w:val="005B50D7"/>
    <w:rsid w:val="005C293F"/>
    <w:rsid w:val="005D1F34"/>
    <w:rsid w:val="005F36BE"/>
    <w:rsid w:val="005F4789"/>
    <w:rsid w:val="005F7015"/>
    <w:rsid w:val="0061324D"/>
    <w:rsid w:val="006A6BB3"/>
    <w:rsid w:val="006B2544"/>
    <w:rsid w:val="006C6741"/>
    <w:rsid w:val="006D5EE5"/>
    <w:rsid w:val="00732CE4"/>
    <w:rsid w:val="00740E26"/>
    <w:rsid w:val="007606CC"/>
    <w:rsid w:val="00770DCB"/>
    <w:rsid w:val="00775485"/>
    <w:rsid w:val="007C222B"/>
    <w:rsid w:val="008724DE"/>
    <w:rsid w:val="008B3662"/>
    <w:rsid w:val="008B4C13"/>
    <w:rsid w:val="008D6140"/>
    <w:rsid w:val="008E3D60"/>
    <w:rsid w:val="008E675D"/>
    <w:rsid w:val="0090165F"/>
    <w:rsid w:val="00944ABD"/>
    <w:rsid w:val="00966C2F"/>
    <w:rsid w:val="009C678D"/>
    <w:rsid w:val="00A0406E"/>
    <w:rsid w:val="00A32F15"/>
    <w:rsid w:val="00A41355"/>
    <w:rsid w:val="00A43B92"/>
    <w:rsid w:val="00A6179E"/>
    <w:rsid w:val="00A9225B"/>
    <w:rsid w:val="00A94795"/>
    <w:rsid w:val="00AB209B"/>
    <w:rsid w:val="00B0666A"/>
    <w:rsid w:val="00B10447"/>
    <w:rsid w:val="00B15F40"/>
    <w:rsid w:val="00B2661A"/>
    <w:rsid w:val="00B277E0"/>
    <w:rsid w:val="00B53A65"/>
    <w:rsid w:val="00BA262D"/>
    <w:rsid w:val="00BD400C"/>
    <w:rsid w:val="00BF1C1B"/>
    <w:rsid w:val="00C00DC8"/>
    <w:rsid w:val="00C25BDA"/>
    <w:rsid w:val="00C71D32"/>
    <w:rsid w:val="00C76D13"/>
    <w:rsid w:val="00C87F1C"/>
    <w:rsid w:val="00CA0D78"/>
    <w:rsid w:val="00D1390E"/>
    <w:rsid w:val="00D41C6C"/>
    <w:rsid w:val="00D41D47"/>
    <w:rsid w:val="00D65207"/>
    <w:rsid w:val="00D65C76"/>
    <w:rsid w:val="00D65C9F"/>
    <w:rsid w:val="00DA2F73"/>
    <w:rsid w:val="00DC462F"/>
    <w:rsid w:val="00DE047A"/>
    <w:rsid w:val="00DE698F"/>
    <w:rsid w:val="00DF3E39"/>
    <w:rsid w:val="00E14A38"/>
    <w:rsid w:val="00E24FA3"/>
    <w:rsid w:val="00E36B41"/>
    <w:rsid w:val="00E45954"/>
    <w:rsid w:val="00E614D0"/>
    <w:rsid w:val="00EE50BC"/>
    <w:rsid w:val="00F14C6D"/>
    <w:rsid w:val="00FA6159"/>
    <w:rsid w:val="00FB625D"/>
    <w:rsid w:val="00FC6CAD"/>
    <w:rsid w:val="00FE7754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D13DB83A-6B87-4D19-AEEC-4A2062FD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3F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qFormat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paragraph" w:styleId="ListParagraph">
    <w:name w:val="List Paragraph"/>
    <w:basedOn w:val="Normal"/>
    <w:uiPriority w:val="34"/>
    <w:qFormat/>
    <w:rsid w:val="00732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umanrights.gov.au/news/media-releases/2011-media-release-passage-sex-and-age-discrimination-legislation-amendment" TargetMode="External"/><Relationship Id="rId2" Type="http://schemas.openxmlformats.org/officeDocument/2006/relationships/hyperlink" Target="http://www.aph.gov.au/Parliamentary_Business/Committees/Joint/Human_Rights" TargetMode="External"/><Relationship Id="rId1" Type="http://schemas.openxmlformats.org/officeDocument/2006/relationships/hyperlink" Target="http://www.ag.gov.au/Consultations/Documents/NationalHumanRightsActionPlan/National%20Human%20Rights%20Plan.pdf" TargetMode="External"/><Relationship Id="rId6" Type="http://schemas.openxmlformats.org/officeDocument/2006/relationships/hyperlink" Target="https://www.humanrights.gov.au/news/media-releases/commission-welcomes-new-commissioner" TargetMode="External"/><Relationship Id="rId5" Type="http://schemas.openxmlformats.org/officeDocument/2006/relationships/hyperlink" Target="https://www.humanrights.gov.au/news/stories/2011-news-race-discrimination-commissioner-appointed" TargetMode="External"/><Relationship Id="rId4" Type="http://schemas.openxmlformats.org/officeDocument/2006/relationships/hyperlink" Target="https://www.humanrights.gov.au/news/media-releases/commission-welcomes-inaugural-children-s-commission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3732-AB14-4E58-A6F4-E373B8EE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39</TotalTime>
  <Pages>2</Pages>
  <Words>318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Akhil Abraham</dc:creator>
  <cp:lastModifiedBy>Helen Potts</cp:lastModifiedBy>
  <cp:revision>8</cp:revision>
  <cp:lastPrinted>2008-09-11T23:06:00Z</cp:lastPrinted>
  <dcterms:created xsi:type="dcterms:W3CDTF">2015-06-16T02:23:00Z</dcterms:created>
  <dcterms:modified xsi:type="dcterms:W3CDTF">2015-06-26T03:46:00Z</dcterms:modified>
</cp:coreProperties>
</file>