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81D3087" w14:textId="77777777" w:rsidR="00591951" w:rsidRPr="00654793" w:rsidRDefault="00E846D7" w:rsidP="00591951">
      <w:pPr>
        <w:tabs>
          <w:tab w:val="left" w:pos="3014"/>
        </w:tabs>
        <w:spacing w:after="3000"/>
        <w:rPr>
          <w:rStyle w:val="FootnoteReference"/>
        </w:rPr>
      </w:pPr>
      <w:r>
        <w:rPr>
          <w:noProof/>
        </w:rPr>
        <mc:AlternateContent>
          <mc:Choice Requires="wps">
            <w:drawing>
              <wp:anchor distT="0" distB="0" distL="114300" distR="114300" simplePos="0" relativeHeight="251657728" behindDoc="0" locked="0" layoutInCell="1" allowOverlap="1" wp14:anchorId="62F6D816" wp14:editId="1E04C784">
                <wp:simplePos x="0" y="0"/>
                <wp:positionH relativeFrom="column">
                  <wp:posOffset>1128395</wp:posOffset>
                </wp:positionH>
                <wp:positionV relativeFrom="paragraph">
                  <wp:posOffset>1339214</wp:posOffset>
                </wp:positionV>
                <wp:extent cx="4606290" cy="619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619125"/>
                        </a:xfrm>
                        <a:prstGeom prst="rect">
                          <a:avLst/>
                        </a:prstGeom>
                        <a:noFill/>
                        <a:ln w="6350">
                          <a:noFill/>
                        </a:ln>
                        <a:effectLst/>
                      </wps:spPr>
                      <wps:txbx>
                        <w:txbxContent>
                          <w:p w14:paraId="64657935" w14:textId="00B78F5A" w:rsidR="00B60B7D" w:rsidRPr="0056453B" w:rsidRDefault="00B60B7D" w:rsidP="0056453B">
                            <w:pPr>
                              <w:jc w:val="right"/>
                              <w:rPr>
                                <w:b/>
                              </w:rPr>
                            </w:pPr>
                            <w:bookmarkStart w:id="1" w:name="_Toc512259366"/>
                            <w:bookmarkStart w:id="2" w:name="_Toc512525598"/>
                            <w:bookmarkStart w:id="3" w:name="_Toc512942106"/>
                            <w:bookmarkStart w:id="4" w:name="_Toc512942174"/>
                            <w:bookmarkStart w:id="5" w:name="_Toc512954197"/>
                            <w:bookmarkStart w:id="6" w:name="_Toc512958724"/>
                            <w:bookmarkStart w:id="7" w:name="_Toc513021527"/>
                            <w:bookmarkStart w:id="8" w:name="_Toc513129545"/>
                            <w:r w:rsidRPr="0056453B">
                              <w:rPr>
                                <w:b/>
                              </w:rPr>
                              <w:t xml:space="preserve">Australian Human Rights Commission Submission to the </w:t>
                            </w:r>
                            <w:r>
                              <w:rPr>
                                <w:b/>
                              </w:rPr>
                              <w:t>Standing Committee on Social Policy a</w:t>
                            </w:r>
                            <w:r w:rsidRPr="0056453B">
                              <w:rPr>
                                <w:b/>
                              </w:rPr>
                              <w:t>nd Legal Affairs</w:t>
                            </w:r>
                            <w:bookmarkEnd w:id="1"/>
                            <w:bookmarkEnd w:id="2"/>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6D816" id="_x0000_t202" coordsize="21600,21600" o:spt="202" path="m,l,21600r21600,l21600,xe">
                <v:stroke joinstyle="miter"/>
                <v:path gradientshapeok="t" o:connecttype="rect"/>
              </v:shapetype>
              <v:shape id="Text Box 3" o:spid="_x0000_s1026" type="#_x0000_t202" style="position:absolute;margin-left:88.85pt;margin-top:105.45pt;width:362.7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" filled="f" stroked="f" strokeweight=".5pt">
                <v:path arrowok="t"/>
                <v:textbox>
                  <w:txbxContent>
                    <w:p w14:paraId="64657935" w14:textId="00B78F5A" w:rsidR="00B60B7D" w:rsidRPr="0056453B" w:rsidRDefault="00B60B7D" w:rsidP="0056453B">
                      <w:pPr>
                        <w:jc w:val="right"/>
                        <w:rPr>
                          <w:b/>
                        </w:rPr>
                      </w:pPr>
                      <w:bookmarkStart w:id="8" w:name="_Toc512259366"/>
                      <w:bookmarkStart w:id="9" w:name="_Toc512525598"/>
                      <w:bookmarkStart w:id="10" w:name="_Toc512942106"/>
                      <w:bookmarkStart w:id="11" w:name="_Toc512942174"/>
                      <w:bookmarkStart w:id="12" w:name="_Toc512954197"/>
                      <w:bookmarkStart w:id="13" w:name="_Toc512958724"/>
                      <w:bookmarkStart w:id="14" w:name="_Toc513021527"/>
                      <w:bookmarkStart w:id="15" w:name="_Toc513129545"/>
                      <w:r w:rsidRPr="0056453B">
                        <w:rPr>
                          <w:b/>
                        </w:rPr>
                        <w:t xml:space="preserve">Australian Human Rights Commission Submission to the </w:t>
                      </w:r>
                      <w:r>
                        <w:rPr>
                          <w:b/>
                        </w:rPr>
                        <w:t>Standing Committee on Social Policy a</w:t>
                      </w:r>
                      <w:r w:rsidRPr="0056453B">
                        <w:rPr>
                          <w:b/>
                        </w:rPr>
                        <w:t>nd Legal Affairs</w:t>
                      </w:r>
                      <w:bookmarkEnd w:id="8"/>
                      <w:bookmarkEnd w:id="9"/>
                      <w:bookmarkEnd w:id="10"/>
                      <w:bookmarkEnd w:id="11"/>
                      <w:bookmarkEnd w:id="12"/>
                      <w:bookmarkEnd w:id="13"/>
                      <w:bookmarkEnd w:id="14"/>
                      <w:bookmarkEnd w:id="15"/>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6F26022B" wp14:editId="202E22D6">
                <wp:simplePos x="0" y="0"/>
                <wp:positionH relativeFrom="column">
                  <wp:posOffset>1959610</wp:posOffset>
                </wp:positionH>
                <wp:positionV relativeFrom="paragraph">
                  <wp:posOffset>1975485</wp:posOffset>
                </wp:positionV>
                <wp:extent cx="3775075" cy="3613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14:paraId="0CC12A65" w14:textId="6938554B" w:rsidR="00B60B7D" w:rsidRPr="00B74219" w:rsidRDefault="00B60B7D" w:rsidP="002863D7">
                            <w:pPr>
                              <w:pStyle w:val="Date"/>
                            </w:pPr>
                            <w:r w:rsidRPr="00D51466">
                              <w:t>12 June</w:t>
                            </w:r>
                            <w:r w:rsidRPr="00C46D0A">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022B" id="Text Box 4" o:spid="_x0000_s1027" type="#_x0000_t202" style="position:absolute;margin-left:154.3pt;margin-top:155.55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7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" filled="f" stroked="f" strokeweight=".5pt">
                <v:path arrowok="t"/>
                <v:textbox>
                  <w:txbxContent>
                    <w:p w14:paraId="0CC12A65" w14:textId="6938554B" w:rsidR="00B60B7D" w:rsidRPr="00B74219" w:rsidRDefault="00B60B7D" w:rsidP="002863D7">
                      <w:pPr>
                        <w:pStyle w:val="Date"/>
                      </w:pPr>
                      <w:r w:rsidRPr="00D51466">
                        <w:t>12 June</w:t>
                      </w:r>
                      <w:r w:rsidRPr="00C46D0A">
                        <w:t xml:space="preserve"> 2018</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4FB1EEC" wp14:editId="50DDF988">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14:paraId="0B8EBC13" w14:textId="77777777" w:rsidR="00B60B7D" w:rsidRDefault="00B60B7D" w:rsidP="00FD01B5">
                            <w:pPr>
                              <w:pStyle w:val="MainTitle"/>
                            </w:pPr>
                            <w:r>
                              <w:t xml:space="preserve">Inquiry into </w:t>
                            </w:r>
                          </w:p>
                          <w:p w14:paraId="7DD1CA4A" w14:textId="77777777" w:rsidR="00B60B7D" w:rsidRDefault="00B60B7D" w:rsidP="00FD01B5">
                            <w:pPr>
                              <w:pStyle w:val="MainTitle"/>
                            </w:pPr>
                            <w:r>
                              <w:t>local adoption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B1EEC"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DUulc/QAIAAIAE&#10;AAAOAAAAAAAAAAAAAAAAAC4CAABkcnMvZTJvRG9jLnhtbFBLAQItABQABgAIAAAAIQBMhv8R4QAA&#10;AAoBAAAPAAAAAAAAAAAAAAAAAJoEAABkcnMvZG93bnJldi54bWxQSwUGAAAAAAQABADzAAAAqAUA&#10;AAAA&#10;" filled="f" stroked="f" strokeweight=".5pt">
                <v:path arrowok="t"/>
                <v:textbox>
                  <w:txbxContent>
                    <w:p w14:paraId="0B8EBC13" w14:textId="77777777" w:rsidR="00B60B7D" w:rsidRDefault="00B60B7D" w:rsidP="00FD01B5">
                      <w:pPr>
                        <w:pStyle w:val="MainTitle"/>
                      </w:pPr>
                      <w:r>
                        <w:t xml:space="preserve">Inquiry into </w:t>
                      </w:r>
                    </w:p>
                    <w:p w14:paraId="7DD1CA4A" w14:textId="77777777" w:rsidR="00B60B7D" w:rsidRDefault="00B60B7D" w:rsidP="00FD01B5">
                      <w:pPr>
                        <w:pStyle w:val="MainTitle"/>
                      </w:pPr>
                      <w:r>
                        <w:t>local adoption</w:t>
                      </w:r>
                    </w:p>
                  </w:txbxContent>
                </v:textbox>
              </v:shape>
            </w:pict>
          </mc:Fallback>
        </mc:AlternateContent>
      </w:r>
    </w:p>
    <w:p w14:paraId="42DB9F42" w14:textId="77777777" w:rsidR="00591951" w:rsidRPr="00827DE2" w:rsidRDefault="00591951" w:rsidP="00591951">
      <w:pPr>
        <w:pStyle w:val="MainTitle"/>
        <w:rPr>
          <w:sz w:val="44"/>
          <w:szCs w:val="44"/>
        </w:rPr>
      </w:pPr>
    </w:p>
    <w:p w14:paraId="7E79763F"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9" w:name="_Toc209316062"/>
      <w:bookmarkEnd w:id="9"/>
    </w:p>
    <w:p w14:paraId="10EAE875" w14:textId="77777777" w:rsidR="003A2F4E" w:rsidRDefault="00B63D24" w:rsidP="00215815">
      <w:pPr>
        <w:rPr>
          <w:noProof/>
        </w:rPr>
      </w:pPr>
      <w:bookmarkStart w:id="10" w:name="_Toc207761829"/>
      <w:r w:rsidRPr="00907336">
        <w:rPr>
          <w:b/>
          <w:sz w:val="28"/>
          <w:szCs w:val="28"/>
        </w:rPr>
        <w:lastRenderedPageBreak/>
        <w:t>Contents</w:t>
      </w:r>
      <w:bookmarkEnd w:id="10"/>
      <w:r>
        <w:rPr>
          <w:b/>
          <w:i/>
          <w:noProof/>
          <w:sz w:val="22"/>
        </w:rPr>
        <w:fldChar w:fldCharType="begin"/>
      </w:r>
      <w:r>
        <w:instrText xml:space="preserve"> TOC \o "1-4" \h \z \u </w:instrText>
      </w:r>
      <w:r>
        <w:rPr>
          <w:b/>
          <w:i/>
          <w:noProof/>
          <w:sz w:val="22"/>
        </w:rPr>
        <w:fldChar w:fldCharType="separate"/>
      </w:r>
    </w:p>
    <w:p w14:paraId="1EE47E36" w14:textId="542CE911" w:rsidR="003A2F4E" w:rsidRDefault="00AC0B7E">
      <w:pPr>
        <w:pStyle w:val="TOC1"/>
        <w:rPr>
          <w:rFonts w:asciiTheme="minorHAnsi" w:eastAsiaTheme="minorEastAsia" w:hAnsiTheme="minorHAnsi" w:cstheme="minorBidi"/>
          <w:b w:val="0"/>
          <w:szCs w:val="22"/>
        </w:rPr>
      </w:pPr>
      <w:hyperlink w:anchor="_Toc516142228" w:history="1">
        <w:r w:rsidR="003A2F4E" w:rsidRPr="00F31E34">
          <w:rPr>
            <w:rStyle w:val="Hyperlink"/>
          </w:rPr>
          <w:t>1</w:t>
        </w:r>
        <w:r w:rsidR="003A2F4E">
          <w:rPr>
            <w:rFonts w:asciiTheme="minorHAnsi" w:eastAsiaTheme="minorEastAsia" w:hAnsiTheme="minorHAnsi" w:cstheme="minorBidi"/>
            <w:b w:val="0"/>
            <w:szCs w:val="22"/>
          </w:rPr>
          <w:tab/>
        </w:r>
        <w:r w:rsidR="003A2F4E" w:rsidRPr="00F31E34">
          <w:rPr>
            <w:rStyle w:val="Hyperlink"/>
          </w:rPr>
          <w:t>Introduction</w:t>
        </w:r>
        <w:r w:rsidR="003A2F4E">
          <w:rPr>
            <w:webHidden/>
          </w:rPr>
          <w:tab/>
        </w:r>
        <w:r w:rsidR="003A2F4E">
          <w:rPr>
            <w:webHidden/>
          </w:rPr>
          <w:fldChar w:fldCharType="begin"/>
        </w:r>
        <w:r w:rsidR="003A2F4E">
          <w:rPr>
            <w:webHidden/>
          </w:rPr>
          <w:instrText xml:space="preserve"> PAGEREF _Toc516142228 \h </w:instrText>
        </w:r>
        <w:r w:rsidR="003A2F4E">
          <w:rPr>
            <w:webHidden/>
          </w:rPr>
        </w:r>
        <w:r w:rsidR="003A2F4E">
          <w:rPr>
            <w:webHidden/>
          </w:rPr>
          <w:fldChar w:fldCharType="separate"/>
        </w:r>
        <w:r w:rsidR="003A2F4E">
          <w:rPr>
            <w:webHidden/>
          </w:rPr>
          <w:t>3</w:t>
        </w:r>
        <w:r w:rsidR="003A2F4E">
          <w:rPr>
            <w:webHidden/>
          </w:rPr>
          <w:fldChar w:fldCharType="end"/>
        </w:r>
      </w:hyperlink>
    </w:p>
    <w:p w14:paraId="3ECAAFD0" w14:textId="267F32FD" w:rsidR="003A2F4E" w:rsidRDefault="00AC0B7E">
      <w:pPr>
        <w:pStyle w:val="TOC1"/>
        <w:rPr>
          <w:rFonts w:asciiTheme="minorHAnsi" w:eastAsiaTheme="minorEastAsia" w:hAnsiTheme="minorHAnsi" w:cstheme="minorBidi"/>
          <w:b w:val="0"/>
          <w:szCs w:val="22"/>
        </w:rPr>
      </w:pPr>
      <w:hyperlink w:anchor="_Toc516142229" w:history="1">
        <w:r w:rsidR="003A2F4E" w:rsidRPr="00F31E34">
          <w:rPr>
            <w:rStyle w:val="Hyperlink"/>
          </w:rPr>
          <w:t>2</w:t>
        </w:r>
        <w:r w:rsidR="003A2F4E">
          <w:rPr>
            <w:rFonts w:asciiTheme="minorHAnsi" w:eastAsiaTheme="minorEastAsia" w:hAnsiTheme="minorHAnsi" w:cstheme="minorBidi"/>
            <w:b w:val="0"/>
            <w:szCs w:val="22"/>
          </w:rPr>
          <w:tab/>
        </w:r>
        <w:r w:rsidR="003A2F4E" w:rsidRPr="00F31E34">
          <w:rPr>
            <w:rStyle w:val="Hyperlink"/>
          </w:rPr>
          <w:t>Summary</w:t>
        </w:r>
        <w:r w:rsidR="003A2F4E">
          <w:rPr>
            <w:webHidden/>
          </w:rPr>
          <w:tab/>
        </w:r>
        <w:r w:rsidR="003A2F4E">
          <w:rPr>
            <w:webHidden/>
          </w:rPr>
          <w:fldChar w:fldCharType="begin"/>
        </w:r>
        <w:r w:rsidR="003A2F4E">
          <w:rPr>
            <w:webHidden/>
          </w:rPr>
          <w:instrText xml:space="preserve"> PAGEREF _Toc516142229 \h </w:instrText>
        </w:r>
        <w:r w:rsidR="003A2F4E">
          <w:rPr>
            <w:webHidden/>
          </w:rPr>
        </w:r>
        <w:r w:rsidR="003A2F4E">
          <w:rPr>
            <w:webHidden/>
          </w:rPr>
          <w:fldChar w:fldCharType="separate"/>
        </w:r>
        <w:r w:rsidR="003A2F4E">
          <w:rPr>
            <w:webHidden/>
          </w:rPr>
          <w:t>4</w:t>
        </w:r>
        <w:r w:rsidR="003A2F4E">
          <w:rPr>
            <w:webHidden/>
          </w:rPr>
          <w:fldChar w:fldCharType="end"/>
        </w:r>
      </w:hyperlink>
    </w:p>
    <w:p w14:paraId="00C7A25F" w14:textId="32B68040" w:rsidR="003A2F4E" w:rsidRDefault="00AC0B7E">
      <w:pPr>
        <w:pStyle w:val="TOC1"/>
        <w:rPr>
          <w:rFonts w:asciiTheme="minorHAnsi" w:eastAsiaTheme="minorEastAsia" w:hAnsiTheme="minorHAnsi" w:cstheme="minorBidi"/>
          <w:b w:val="0"/>
          <w:szCs w:val="22"/>
        </w:rPr>
      </w:pPr>
      <w:hyperlink w:anchor="_Toc516142230" w:history="1">
        <w:r w:rsidR="003A2F4E" w:rsidRPr="00F31E34">
          <w:rPr>
            <w:rStyle w:val="Hyperlink"/>
          </w:rPr>
          <w:t>3</w:t>
        </w:r>
        <w:r w:rsidR="003A2F4E">
          <w:rPr>
            <w:rFonts w:asciiTheme="minorHAnsi" w:eastAsiaTheme="minorEastAsia" w:hAnsiTheme="minorHAnsi" w:cstheme="minorBidi"/>
            <w:b w:val="0"/>
            <w:szCs w:val="22"/>
          </w:rPr>
          <w:tab/>
        </w:r>
        <w:r w:rsidR="003A2F4E" w:rsidRPr="00F31E34">
          <w:rPr>
            <w:rStyle w:val="Hyperlink"/>
          </w:rPr>
          <w:t>Recommendations</w:t>
        </w:r>
        <w:r w:rsidR="003A2F4E">
          <w:rPr>
            <w:webHidden/>
          </w:rPr>
          <w:tab/>
        </w:r>
        <w:r w:rsidR="003A2F4E">
          <w:rPr>
            <w:webHidden/>
          </w:rPr>
          <w:fldChar w:fldCharType="begin"/>
        </w:r>
        <w:r w:rsidR="003A2F4E">
          <w:rPr>
            <w:webHidden/>
          </w:rPr>
          <w:instrText xml:space="preserve"> PAGEREF _Toc516142230 \h </w:instrText>
        </w:r>
        <w:r w:rsidR="003A2F4E">
          <w:rPr>
            <w:webHidden/>
          </w:rPr>
        </w:r>
        <w:r w:rsidR="003A2F4E">
          <w:rPr>
            <w:webHidden/>
          </w:rPr>
          <w:fldChar w:fldCharType="separate"/>
        </w:r>
        <w:r w:rsidR="003A2F4E">
          <w:rPr>
            <w:webHidden/>
          </w:rPr>
          <w:t>5</w:t>
        </w:r>
        <w:r w:rsidR="003A2F4E">
          <w:rPr>
            <w:webHidden/>
          </w:rPr>
          <w:fldChar w:fldCharType="end"/>
        </w:r>
      </w:hyperlink>
    </w:p>
    <w:p w14:paraId="05ACC7E5" w14:textId="3A7D4215" w:rsidR="003A2F4E" w:rsidRDefault="00AC0B7E">
      <w:pPr>
        <w:pStyle w:val="TOC1"/>
        <w:rPr>
          <w:rFonts w:asciiTheme="minorHAnsi" w:eastAsiaTheme="minorEastAsia" w:hAnsiTheme="minorHAnsi" w:cstheme="minorBidi"/>
          <w:b w:val="0"/>
          <w:szCs w:val="22"/>
        </w:rPr>
      </w:pPr>
      <w:hyperlink w:anchor="_Toc516142231" w:history="1">
        <w:r w:rsidR="003A2F4E" w:rsidRPr="00F31E34">
          <w:rPr>
            <w:rStyle w:val="Hyperlink"/>
          </w:rPr>
          <w:t>4</w:t>
        </w:r>
        <w:r w:rsidR="003A2F4E">
          <w:rPr>
            <w:rFonts w:asciiTheme="minorHAnsi" w:eastAsiaTheme="minorEastAsia" w:hAnsiTheme="minorHAnsi" w:cstheme="minorBidi"/>
            <w:b w:val="0"/>
            <w:szCs w:val="22"/>
          </w:rPr>
          <w:tab/>
        </w:r>
        <w:r w:rsidR="003A2F4E" w:rsidRPr="00F31E34">
          <w:rPr>
            <w:rStyle w:val="Hyperlink"/>
          </w:rPr>
          <w:t>International human rights framework</w:t>
        </w:r>
        <w:r w:rsidR="003A2F4E">
          <w:rPr>
            <w:webHidden/>
          </w:rPr>
          <w:tab/>
        </w:r>
        <w:r w:rsidR="003A2F4E">
          <w:rPr>
            <w:webHidden/>
          </w:rPr>
          <w:fldChar w:fldCharType="begin"/>
        </w:r>
        <w:r w:rsidR="003A2F4E">
          <w:rPr>
            <w:webHidden/>
          </w:rPr>
          <w:instrText xml:space="preserve"> PAGEREF _Toc516142231 \h </w:instrText>
        </w:r>
        <w:r w:rsidR="003A2F4E">
          <w:rPr>
            <w:webHidden/>
          </w:rPr>
        </w:r>
        <w:r w:rsidR="003A2F4E">
          <w:rPr>
            <w:webHidden/>
          </w:rPr>
          <w:fldChar w:fldCharType="separate"/>
        </w:r>
        <w:r w:rsidR="003A2F4E">
          <w:rPr>
            <w:webHidden/>
          </w:rPr>
          <w:t>6</w:t>
        </w:r>
        <w:r w:rsidR="003A2F4E">
          <w:rPr>
            <w:webHidden/>
          </w:rPr>
          <w:fldChar w:fldCharType="end"/>
        </w:r>
      </w:hyperlink>
    </w:p>
    <w:p w14:paraId="507D4434" w14:textId="560F7B39" w:rsidR="003A2F4E" w:rsidRDefault="00AC0B7E">
      <w:pPr>
        <w:pStyle w:val="TOC1"/>
        <w:rPr>
          <w:rFonts w:asciiTheme="minorHAnsi" w:eastAsiaTheme="minorEastAsia" w:hAnsiTheme="minorHAnsi" w:cstheme="minorBidi"/>
          <w:b w:val="0"/>
          <w:szCs w:val="22"/>
        </w:rPr>
      </w:pPr>
      <w:hyperlink w:anchor="_Toc516142232" w:history="1">
        <w:r w:rsidR="003A2F4E" w:rsidRPr="00F31E34">
          <w:rPr>
            <w:rStyle w:val="Hyperlink"/>
            <w:lang w:val="en"/>
          </w:rPr>
          <w:t>5</w:t>
        </w:r>
        <w:r w:rsidR="003A2F4E">
          <w:rPr>
            <w:rFonts w:asciiTheme="minorHAnsi" w:eastAsiaTheme="minorEastAsia" w:hAnsiTheme="minorHAnsi" w:cstheme="minorBidi"/>
            <w:b w:val="0"/>
            <w:szCs w:val="22"/>
          </w:rPr>
          <w:tab/>
        </w:r>
        <w:r w:rsidR="003A2F4E" w:rsidRPr="00F31E34">
          <w:rPr>
            <w:rStyle w:val="Hyperlink"/>
            <w:lang w:val="en"/>
          </w:rPr>
          <w:t>Children in out-of-home care</w:t>
        </w:r>
        <w:r w:rsidR="003A2F4E">
          <w:rPr>
            <w:webHidden/>
          </w:rPr>
          <w:tab/>
        </w:r>
        <w:r w:rsidR="003A2F4E">
          <w:rPr>
            <w:webHidden/>
          </w:rPr>
          <w:fldChar w:fldCharType="begin"/>
        </w:r>
        <w:r w:rsidR="003A2F4E">
          <w:rPr>
            <w:webHidden/>
          </w:rPr>
          <w:instrText xml:space="preserve"> PAGEREF _Toc516142232 \h </w:instrText>
        </w:r>
        <w:r w:rsidR="003A2F4E">
          <w:rPr>
            <w:webHidden/>
          </w:rPr>
        </w:r>
        <w:r w:rsidR="003A2F4E">
          <w:rPr>
            <w:webHidden/>
          </w:rPr>
          <w:fldChar w:fldCharType="separate"/>
        </w:r>
        <w:r w:rsidR="003A2F4E">
          <w:rPr>
            <w:webHidden/>
          </w:rPr>
          <w:t>10</w:t>
        </w:r>
        <w:r w:rsidR="003A2F4E">
          <w:rPr>
            <w:webHidden/>
          </w:rPr>
          <w:fldChar w:fldCharType="end"/>
        </w:r>
      </w:hyperlink>
    </w:p>
    <w:p w14:paraId="70AE6413" w14:textId="5C1933AD" w:rsidR="003A2F4E" w:rsidRDefault="00AC0B7E">
      <w:pPr>
        <w:pStyle w:val="TOC2"/>
        <w:rPr>
          <w:rFonts w:asciiTheme="minorHAnsi" w:eastAsiaTheme="minorEastAsia" w:hAnsiTheme="minorHAnsi" w:cstheme="minorBidi"/>
          <w:b w:val="0"/>
          <w:i w:val="0"/>
          <w:sz w:val="22"/>
          <w:szCs w:val="22"/>
        </w:rPr>
      </w:pPr>
      <w:hyperlink w:anchor="_Toc516142233" w:history="1">
        <w:r w:rsidR="003A2F4E" w:rsidRPr="00F31E34">
          <w:rPr>
            <w:rStyle w:val="Hyperlink"/>
          </w:rPr>
          <w:t>5.1</w:t>
        </w:r>
        <w:r w:rsidR="003A2F4E">
          <w:rPr>
            <w:rFonts w:asciiTheme="minorHAnsi" w:eastAsiaTheme="minorEastAsia" w:hAnsiTheme="minorHAnsi" w:cstheme="minorBidi"/>
            <w:b w:val="0"/>
            <w:i w:val="0"/>
            <w:sz w:val="22"/>
            <w:szCs w:val="22"/>
          </w:rPr>
          <w:tab/>
        </w:r>
        <w:r w:rsidR="003A2F4E" w:rsidRPr="00F31E34">
          <w:rPr>
            <w:rStyle w:val="Hyperlink"/>
          </w:rPr>
          <w:t>Number of children in out-of-home care</w:t>
        </w:r>
        <w:r w:rsidR="003A2F4E">
          <w:rPr>
            <w:webHidden/>
          </w:rPr>
          <w:tab/>
        </w:r>
        <w:r w:rsidR="003A2F4E">
          <w:rPr>
            <w:webHidden/>
          </w:rPr>
          <w:fldChar w:fldCharType="begin"/>
        </w:r>
        <w:r w:rsidR="003A2F4E">
          <w:rPr>
            <w:webHidden/>
          </w:rPr>
          <w:instrText xml:space="preserve"> PAGEREF _Toc516142233 \h </w:instrText>
        </w:r>
        <w:r w:rsidR="003A2F4E">
          <w:rPr>
            <w:webHidden/>
          </w:rPr>
        </w:r>
        <w:r w:rsidR="003A2F4E">
          <w:rPr>
            <w:webHidden/>
          </w:rPr>
          <w:fldChar w:fldCharType="separate"/>
        </w:r>
        <w:r w:rsidR="003A2F4E">
          <w:rPr>
            <w:webHidden/>
          </w:rPr>
          <w:t>10</w:t>
        </w:r>
        <w:r w:rsidR="003A2F4E">
          <w:rPr>
            <w:webHidden/>
          </w:rPr>
          <w:fldChar w:fldCharType="end"/>
        </w:r>
      </w:hyperlink>
    </w:p>
    <w:p w14:paraId="6D421E0B" w14:textId="28BCF5D1" w:rsidR="003A2F4E" w:rsidRDefault="00AC0B7E">
      <w:pPr>
        <w:pStyle w:val="TOC2"/>
        <w:rPr>
          <w:rFonts w:asciiTheme="minorHAnsi" w:eastAsiaTheme="minorEastAsia" w:hAnsiTheme="minorHAnsi" w:cstheme="minorBidi"/>
          <w:b w:val="0"/>
          <w:i w:val="0"/>
          <w:sz w:val="22"/>
          <w:szCs w:val="22"/>
        </w:rPr>
      </w:pPr>
      <w:hyperlink w:anchor="_Toc516142234" w:history="1">
        <w:r w:rsidR="003A2F4E" w:rsidRPr="00F31E34">
          <w:rPr>
            <w:rStyle w:val="Hyperlink"/>
          </w:rPr>
          <w:t>5.2</w:t>
        </w:r>
        <w:r w:rsidR="003A2F4E">
          <w:rPr>
            <w:rFonts w:asciiTheme="minorHAnsi" w:eastAsiaTheme="minorEastAsia" w:hAnsiTheme="minorHAnsi" w:cstheme="minorBidi"/>
            <w:b w:val="0"/>
            <w:i w:val="0"/>
            <w:sz w:val="22"/>
            <w:szCs w:val="22"/>
          </w:rPr>
          <w:tab/>
        </w:r>
        <w:r w:rsidR="003A2F4E" w:rsidRPr="00F31E34">
          <w:rPr>
            <w:rStyle w:val="Hyperlink"/>
          </w:rPr>
          <w:t>Measures to reduce the number of children in out-of-home care</w:t>
        </w:r>
        <w:r w:rsidR="003A2F4E">
          <w:rPr>
            <w:webHidden/>
          </w:rPr>
          <w:tab/>
        </w:r>
        <w:r w:rsidR="003A2F4E">
          <w:rPr>
            <w:webHidden/>
          </w:rPr>
          <w:fldChar w:fldCharType="begin"/>
        </w:r>
        <w:r w:rsidR="003A2F4E">
          <w:rPr>
            <w:webHidden/>
          </w:rPr>
          <w:instrText xml:space="preserve"> PAGEREF _Toc516142234 \h </w:instrText>
        </w:r>
        <w:r w:rsidR="003A2F4E">
          <w:rPr>
            <w:webHidden/>
          </w:rPr>
        </w:r>
        <w:r w:rsidR="003A2F4E">
          <w:rPr>
            <w:webHidden/>
          </w:rPr>
          <w:fldChar w:fldCharType="separate"/>
        </w:r>
        <w:r w:rsidR="003A2F4E">
          <w:rPr>
            <w:webHidden/>
          </w:rPr>
          <w:t>11</w:t>
        </w:r>
        <w:r w:rsidR="003A2F4E">
          <w:rPr>
            <w:webHidden/>
          </w:rPr>
          <w:fldChar w:fldCharType="end"/>
        </w:r>
      </w:hyperlink>
    </w:p>
    <w:p w14:paraId="1C8770A1" w14:textId="76FF38BC" w:rsidR="003A2F4E" w:rsidRDefault="00AC0B7E">
      <w:pPr>
        <w:pStyle w:val="TOC2"/>
        <w:rPr>
          <w:rFonts w:asciiTheme="minorHAnsi" w:eastAsiaTheme="minorEastAsia" w:hAnsiTheme="minorHAnsi" w:cstheme="minorBidi"/>
          <w:b w:val="0"/>
          <w:i w:val="0"/>
          <w:sz w:val="22"/>
          <w:szCs w:val="22"/>
        </w:rPr>
      </w:pPr>
      <w:hyperlink w:anchor="_Toc516142235" w:history="1">
        <w:r w:rsidR="003A2F4E" w:rsidRPr="00F31E34">
          <w:rPr>
            <w:rStyle w:val="Hyperlink"/>
          </w:rPr>
          <w:t>5.3</w:t>
        </w:r>
        <w:r w:rsidR="003A2F4E">
          <w:rPr>
            <w:rFonts w:asciiTheme="minorHAnsi" w:eastAsiaTheme="minorEastAsia" w:hAnsiTheme="minorHAnsi" w:cstheme="minorBidi"/>
            <w:b w:val="0"/>
            <w:i w:val="0"/>
            <w:sz w:val="22"/>
            <w:szCs w:val="22"/>
          </w:rPr>
          <w:tab/>
        </w:r>
        <w:r w:rsidR="003A2F4E" w:rsidRPr="00F31E34">
          <w:rPr>
            <w:rStyle w:val="Hyperlink"/>
          </w:rPr>
          <w:t>The importance of stability and permanency</w:t>
        </w:r>
        <w:r w:rsidR="003A2F4E">
          <w:rPr>
            <w:webHidden/>
          </w:rPr>
          <w:tab/>
        </w:r>
        <w:r w:rsidR="003A2F4E">
          <w:rPr>
            <w:webHidden/>
          </w:rPr>
          <w:fldChar w:fldCharType="begin"/>
        </w:r>
        <w:r w:rsidR="003A2F4E">
          <w:rPr>
            <w:webHidden/>
          </w:rPr>
          <w:instrText xml:space="preserve"> PAGEREF _Toc516142235 \h </w:instrText>
        </w:r>
        <w:r w:rsidR="003A2F4E">
          <w:rPr>
            <w:webHidden/>
          </w:rPr>
        </w:r>
        <w:r w:rsidR="003A2F4E">
          <w:rPr>
            <w:webHidden/>
          </w:rPr>
          <w:fldChar w:fldCharType="separate"/>
        </w:r>
        <w:r w:rsidR="003A2F4E">
          <w:rPr>
            <w:webHidden/>
          </w:rPr>
          <w:t>12</w:t>
        </w:r>
        <w:r w:rsidR="003A2F4E">
          <w:rPr>
            <w:webHidden/>
          </w:rPr>
          <w:fldChar w:fldCharType="end"/>
        </w:r>
      </w:hyperlink>
    </w:p>
    <w:p w14:paraId="12F881DE" w14:textId="50BD06D8" w:rsidR="003A2F4E" w:rsidRDefault="00AC0B7E">
      <w:pPr>
        <w:pStyle w:val="TOC1"/>
        <w:rPr>
          <w:rFonts w:asciiTheme="minorHAnsi" w:eastAsiaTheme="minorEastAsia" w:hAnsiTheme="minorHAnsi" w:cstheme="minorBidi"/>
          <w:b w:val="0"/>
          <w:szCs w:val="22"/>
        </w:rPr>
      </w:pPr>
      <w:hyperlink w:anchor="_Toc516142236" w:history="1">
        <w:r w:rsidR="003A2F4E" w:rsidRPr="00F31E34">
          <w:rPr>
            <w:rStyle w:val="Hyperlink"/>
            <w:lang w:val="en"/>
          </w:rPr>
          <w:t>6</w:t>
        </w:r>
        <w:r w:rsidR="003A2F4E">
          <w:rPr>
            <w:rFonts w:asciiTheme="minorHAnsi" w:eastAsiaTheme="minorEastAsia" w:hAnsiTheme="minorHAnsi" w:cstheme="minorBidi"/>
            <w:b w:val="0"/>
            <w:szCs w:val="22"/>
          </w:rPr>
          <w:tab/>
        </w:r>
        <w:r w:rsidR="003A2F4E" w:rsidRPr="00F31E34">
          <w:rPr>
            <w:rStyle w:val="Hyperlink"/>
            <w:lang w:val="en"/>
          </w:rPr>
          <w:t>Adoptions within Australia</w:t>
        </w:r>
        <w:r w:rsidR="003A2F4E">
          <w:rPr>
            <w:webHidden/>
          </w:rPr>
          <w:tab/>
        </w:r>
        <w:r w:rsidR="003A2F4E">
          <w:rPr>
            <w:webHidden/>
          </w:rPr>
          <w:fldChar w:fldCharType="begin"/>
        </w:r>
        <w:r w:rsidR="003A2F4E">
          <w:rPr>
            <w:webHidden/>
          </w:rPr>
          <w:instrText xml:space="preserve"> PAGEREF _Toc516142236 \h </w:instrText>
        </w:r>
        <w:r w:rsidR="003A2F4E">
          <w:rPr>
            <w:webHidden/>
          </w:rPr>
        </w:r>
        <w:r w:rsidR="003A2F4E">
          <w:rPr>
            <w:webHidden/>
          </w:rPr>
          <w:fldChar w:fldCharType="separate"/>
        </w:r>
        <w:r w:rsidR="003A2F4E">
          <w:rPr>
            <w:webHidden/>
          </w:rPr>
          <w:t>14</w:t>
        </w:r>
        <w:r w:rsidR="003A2F4E">
          <w:rPr>
            <w:webHidden/>
          </w:rPr>
          <w:fldChar w:fldCharType="end"/>
        </w:r>
      </w:hyperlink>
    </w:p>
    <w:p w14:paraId="629AF006" w14:textId="5B64F4D4" w:rsidR="003A2F4E" w:rsidRDefault="00AC0B7E">
      <w:pPr>
        <w:pStyle w:val="TOC2"/>
        <w:rPr>
          <w:rFonts w:asciiTheme="minorHAnsi" w:eastAsiaTheme="minorEastAsia" w:hAnsiTheme="minorHAnsi" w:cstheme="minorBidi"/>
          <w:b w:val="0"/>
          <w:i w:val="0"/>
          <w:sz w:val="22"/>
          <w:szCs w:val="22"/>
        </w:rPr>
      </w:pPr>
      <w:hyperlink w:anchor="_Toc516142237" w:history="1">
        <w:r w:rsidR="003A2F4E" w:rsidRPr="00F31E34">
          <w:rPr>
            <w:rStyle w:val="Hyperlink"/>
          </w:rPr>
          <w:t>6.1</w:t>
        </w:r>
        <w:r w:rsidR="003A2F4E">
          <w:rPr>
            <w:rFonts w:asciiTheme="minorHAnsi" w:eastAsiaTheme="minorEastAsia" w:hAnsiTheme="minorHAnsi" w:cstheme="minorBidi"/>
            <w:b w:val="0"/>
            <w:i w:val="0"/>
            <w:sz w:val="22"/>
            <w:szCs w:val="22"/>
          </w:rPr>
          <w:tab/>
        </w:r>
        <w:r w:rsidR="003A2F4E" w:rsidRPr="00F31E34">
          <w:rPr>
            <w:rStyle w:val="Hyperlink"/>
          </w:rPr>
          <w:t>Number of adoptions within Australia</w:t>
        </w:r>
        <w:r w:rsidR="003A2F4E">
          <w:rPr>
            <w:webHidden/>
          </w:rPr>
          <w:tab/>
        </w:r>
        <w:r w:rsidR="003A2F4E">
          <w:rPr>
            <w:webHidden/>
          </w:rPr>
          <w:fldChar w:fldCharType="begin"/>
        </w:r>
        <w:r w:rsidR="003A2F4E">
          <w:rPr>
            <w:webHidden/>
          </w:rPr>
          <w:instrText xml:space="preserve"> PAGEREF _Toc516142237 \h </w:instrText>
        </w:r>
        <w:r w:rsidR="003A2F4E">
          <w:rPr>
            <w:webHidden/>
          </w:rPr>
        </w:r>
        <w:r w:rsidR="003A2F4E">
          <w:rPr>
            <w:webHidden/>
          </w:rPr>
          <w:fldChar w:fldCharType="separate"/>
        </w:r>
        <w:r w:rsidR="003A2F4E">
          <w:rPr>
            <w:webHidden/>
          </w:rPr>
          <w:t>14</w:t>
        </w:r>
        <w:r w:rsidR="003A2F4E">
          <w:rPr>
            <w:webHidden/>
          </w:rPr>
          <w:fldChar w:fldCharType="end"/>
        </w:r>
      </w:hyperlink>
    </w:p>
    <w:p w14:paraId="6CF6EFDE" w14:textId="63B98AE8" w:rsidR="003A2F4E" w:rsidRDefault="00AC0B7E">
      <w:pPr>
        <w:pStyle w:val="TOC2"/>
        <w:rPr>
          <w:rFonts w:asciiTheme="minorHAnsi" w:eastAsiaTheme="minorEastAsia" w:hAnsiTheme="minorHAnsi" w:cstheme="minorBidi"/>
          <w:b w:val="0"/>
          <w:i w:val="0"/>
          <w:sz w:val="22"/>
          <w:szCs w:val="22"/>
        </w:rPr>
      </w:pPr>
      <w:hyperlink w:anchor="_Toc516142238" w:history="1">
        <w:r w:rsidR="003A2F4E" w:rsidRPr="00F31E34">
          <w:rPr>
            <w:rStyle w:val="Hyperlink"/>
          </w:rPr>
          <w:t>6.2</w:t>
        </w:r>
        <w:r w:rsidR="003A2F4E">
          <w:rPr>
            <w:rFonts w:asciiTheme="minorHAnsi" w:eastAsiaTheme="minorEastAsia" w:hAnsiTheme="minorHAnsi" w:cstheme="minorBidi"/>
            <w:b w:val="0"/>
            <w:i w:val="0"/>
            <w:sz w:val="22"/>
            <w:szCs w:val="22"/>
          </w:rPr>
          <w:tab/>
        </w:r>
        <w:r w:rsidR="003A2F4E" w:rsidRPr="00F31E34">
          <w:rPr>
            <w:rStyle w:val="Hyperlink"/>
          </w:rPr>
          <w:t>Adoption as a stable and permanent alternative to out-of-home care</w:t>
        </w:r>
        <w:r w:rsidR="003A2F4E">
          <w:rPr>
            <w:webHidden/>
          </w:rPr>
          <w:tab/>
        </w:r>
        <w:r w:rsidR="003A2F4E">
          <w:rPr>
            <w:webHidden/>
          </w:rPr>
          <w:fldChar w:fldCharType="begin"/>
        </w:r>
        <w:r w:rsidR="003A2F4E">
          <w:rPr>
            <w:webHidden/>
          </w:rPr>
          <w:instrText xml:space="preserve"> PAGEREF _Toc516142238 \h </w:instrText>
        </w:r>
        <w:r w:rsidR="003A2F4E">
          <w:rPr>
            <w:webHidden/>
          </w:rPr>
        </w:r>
        <w:r w:rsidR="003A2F4E">
          <w:rPr>
            <w:webHidden/>
          </w:rPr>
          <w:fldChar w:fldCharType="separate"/>
        </w:r>
        <w:r w:rsidR="003A2F4E">
          <w:rPr>
            <w:webHidden/>
          </w:rPr>
          <w:t>15</w:t>
        </w:r>
        <w:r w:rsidR="003A2F4E">
          <w:rPr>
            <w:webHidden/>
          </w:rPr>
          <w:fldChar w:fldCharType="end"/>
        </w:r>
      </w:hyperlink>
    </w:p>
    <w:p w14:paraId="585D01BF" w14:textId="39A7CEDC" w:rsidR="003A2F4E" w:rsidRDefault="00AC0B7E">
      <w:pPr>
        <w:pStyle w:val="TOC1"/>
        <w:rPr>
          <w:rFonts w:asciiTheme="minorHAnsi" w:eastAsiaTheme="minorEastAsia" w:hAnsiTheme="minorHAnsi" w:cstheme="minorBidi"/>
          <w:b w:val="0"/>
          <w:szCs w:val="22"/>
        </w:rPr>
      </w:pPr>
      <w:hyperlink w:anchor="_Toc516142239" w:history="1">
        <w:r w:rsidR="003A2F4E" w:rsidRPr="00F31E34">
          <w:rPr>
            <w:rStyle w:val="Hyperlink"/>
            <w:rFonts w:cs="Arial"/>
            <w:lang w:val="en"/>
          </w:rPr>
          <w:t>7</w:t>
        </w:r>
        <w:r w:rsidR="003A2F4E">
          <w:rPr>
            <w:rFonts w:asciiTheme="minorHAnsi" w:eastAsiaTheme="minorEastAsia" w:hAnsiTheme="minorHAnsi" w:cstheme="minorBidi"/>
            <w:b w:val="0"/>
            <w:szCs w:val="22"/>
          </w:rPr>
          <w:tab/>
        </w:r>
        <w:r w:rsidR="003A2F4E" w:rsidRPr="00F31E34">
          <w:rPr>
            <w:rStyle w:val="Hyperlink"/>
            <w:rFonts w:cs="Arial"/>
            <w:lang w:val="en"/>
          </w:rPr>
          <w:t>Aboriginal and Torres Strait Islander children</w:t>
        </w:r>
        <w:r w:rsidR="003A2F4E">
          <w:rPr>
            <w:webHidden/>
          </w:rPr>
          <w:tab/>
        </w:r>
        <w:r w:rsidR="003A2F4E">
          <w:rPr>
            <w:webHidden/>
          </w:rPr>
          <w:fldChar w:fldCharType="begin"/>
        </w:r>
        <w:r w:rsidR="003A2F4E">
          <w:rPr>
            <w:webHidden/>
          </w:rPr>
          <w:instrText xml:space="preserve"> PAGEREF _Toc516142239 \h </w:instrText>
        </w:r>
        <w:r w:rsidR="003A2F4E">
          <w:rPr>
            <w:webHidden/>
          </w:rPr>
        </w:r>
        <w:r w:rsidR="003A2F4E">
          <w:rPr>
            <w:webHidden/>
          </w:rPr>
          <w:fldChar w:fldCharType="separate"/>
        </w:r>
        <w:r w:rsidR="003A2F4E">
          <w:rPr>
            <w:webHidden/>
          </w:rPr>
          <w:t>17</w:t>
        </w:r>
        <w:r w:rsidR="003A2F4E">
          <w:rPr>
            <w:webHidden/>
          </w:rPr>
          <w:fldChar w:fldCharType="end"/>
        </w:r>
      </w:hyperlink>
    </w:p>
    <w:p w14:paraId="0318DE06" w14:textId="3504AE94" w:rsidR="003A2F4E" w:rsidRDefault="00AC0B7E">
      <w:pPr>
        <w:pStyle w:val="TOC2"/>
        <w:rPr>
          <w:rFonts w:asciiTheme="minorHAnsi" w:eastAsiaTheme="minorEastAsia" w:hAnsiTheme="minorHAnsi" w:cstheme="minorBidi"/>
          <w:b w:val="0"/>
          <w:i w:val="0"/>
          <w:sz w:val="22"/>
          <w:szCs w:val="22"/>
        </w:rPr>
      </w:pPr>
      <w:hyperlink w:anchor="_Toc516142240" w:history="1">
        <w:r w:rsidR="003A2F4E" w:rsidRPr="00F31E34">
          <w:rPr>
            <w:rStyle w:val="Hyperlink"/>
          </w:rPr>
          <w:t>7.1</w:t>
        </w:r>
        <w:r w:rsidR="003A2F4E">
          <w:rPr>
            <w:rFonts w:asciiTheme="minorHAnsi" w:eastAsiaTheme="minorEastAsia" w:hAnsiTheme="minorHAnsi" w:cstheme="minorBidi"/>
            <w:b w:val="0"/>
            <w:i w:val="0"/>
            <w:sz w:val="22"/>
            <w:szCs w:val="22"/>
          </w:rPr>
          <w:tab/>
        </w:r>
        <w:r w:rsidR="003A2F4E" w:rsidRPr="00F31E34">
          <w:rPr>
            <w:rStyle w:val="Hyperlink"/>
          </w:rPr>
          <w:t>Aboriginal culture and adoption</w:t>
        </w:r>
        <w:r w:rsidR="003A2F4E">
          <w:rPr>
            <w:webHidden/>
          </w:rPr>
          <w:tab/>
        </w:r>
        <w:r w:rsidR="003A2F4E">
          <w:rPr>
            <w:webHidden/>
          </w:rPr>
          <w:fldChar w:fldCharType="begin"/>
        </w:r>
        <w:r w:rsidR="003A2F4E">
          <w:rPr>
            <w:webHidden/>
          </w:rPr>
          <w:instrText xml:space="preserve"> PAGEREF _Toc516142240 \h </w:instrText>
        </w:r>
        <w:r w:rsidR="003A2F4E">
          <w:rPr>
            <w:webHidden/>
          </w:rPr>
        </w:r>
        <w:r w:rsidR="003A2F4E">
          <w:rPr>
            <w:webHidden/>
          </w:rPr>
          <w:fldChar w:fldCharType="separate"/>
        </w:r>
        <w:r w:rsidR="003A2F4E">
          <w:rPr>
            <w:webHidden/>
          </w:rPr>
          <w:t>17</w:t>
        </w:r>
        <w:r w:rsidR="003A2F4E">
          <w:rPr>
            <w:webHidden/>
          </w:rPr>
          <w:fldChar w:fldCharType="end"/>
        </w:r>
      </w:hyperlink>
    </w:p>
    <w:p w14:paraId="6C0A334A" w14:textId="3F034047" w:rsidR="003A2F4E" w:rsidRDefault="00AC0B7E">
      <w:pPr>
        <w:pStyle w:val="TOC2"/>
        <w:rPr>
          <w:rFonts w:asciiTheme="minorHAnsi" w:eastAsiaTheme="minorEastAsia" w:hAnsiTheme="minorHAnsi" w:cstheme="minorBidi"/>
          <w:b w:val="0"/>
          <w:i w:val="0"/>
          <w:sz w:val="22"/>
          <w:szCs w:val="22"/>
        </w:rPr>
      </w:pPr>
      <w:hyperlink w:anchor="_Toc516142241" w:history="1">
        <w:r w:rsidR="003A2F4E" w:rsidRPr="00F31E34">
          <w:rPr>
            <w:rStyle w:val="Hyperlink"/>
          </w:rPr>
          <w:t>7.2</w:t>
        </w:r>
        <w:r w:rsidR="003A2F4E">
          <w:rPr>
            <w:rFonts w:asciiTheme="minorHAnsi" w:eastAsiaTheme="minorEastAsia" w:hAnsiTheme="minorHAnsi" w:cstheme="minorBidi"/>
            <w:b w:val="0"/>
            <w:i w:val="0"/>
            <w:sz w:val="22"/>
            <w:szCs w:val="22"/>
          </w:rPr>
          <w:tab/>
        </w:r>
        <w:r w:rsidR="003A2F4E" w:rsidRPr="00F31E34">
          <w:rPr>
            <w:rStyle w:val="Hyperlink"/>
          </w:rPr>
          <w:t>The effect of adoption on Indigenous populations</w:t>
        </w:r>
        <w:r w:rsidR="003A2F4E">
          <w:rPr>
            <w:webHidden/>
          </w:rPr>
          <w:tab/>
        </w:r>
        <w:r w:rsidR="003A2F4E">
          <w:rPr>
            <w:webHidden/>
          </w:rPr>
          <w:fldChar w:fldCharType="begin"/>
        </w:r>
        <w:r w:rsidR="003A2F4E">
          <w:rPr>
            <w:webHidden/>
          </w:rPr>
          <w:instrText xml:space="preserve"> PAGEREF _Toc516142241 \h </w:instrText>
        </w:r>
        <w:r w:rsidR="003A2F4E">
          <w:rPr>
            <w:webHidden/>
          </w:rPr>
        </w:r>
        <w:r w:rsidR="003A2F4E">
          <w:rPr>
            <w:webHidden/>
          </w:rPr>
          <w:fldChar w:fldCharType="separate"/>
        </w:r>
        <w:r w:rsidR="003A2F4E">
          <w:rPr>
            <w:webHidden/>
          </w:rPr>
          <w:t>18</w:t>
        </w:r>
        <w:r w:rsidR="003A2F4E">
          <w:rPr>
            <w:webHidden/>
          </w:rPr>
          <w:fldChar w:fldCharType="end"/>
        </w:r>
      </w:hyperlink>
    </w:p>
    <w:p w14:paraId="5E5E970B" w14:textId="5A19B44E" w:rsidR="003A2F4E" w:rsidRDefault="00AC0B7E">
      <w:pPr>
        <w:pStyle w:val="TOC2"/>
        <w:rPr>
          <w:rFonts w:asciiTheme="minorHAnsi" w:eastAsiaTheme="minorEastAsia" w:hAnsiTheme="minorHAnsi" w:cstheme="minorBidi"/>
          <w:b w:val="0"/>
          <w:i w:val="0"/>
          <w:sz w:val="22"/>
          <w:szCs w:val="22"/>
        </w:rPr>
      </w:pPr>
      <w:hyperlink w:anchor="_Toc516142242" w:history="1">
        <w:r w:rsidR="003A2F4E" w:rsidRPr="00F31E34">
          <w:rPr>
            <w:rStyle w:val="Hyperlink"/>
          </w:rPr>
          <w:t>7.3</w:t>
        </w:r>
        <w:r w:rsidR="003A2F4E">
          <w:rPr>
            <w:rFonts w:asciiTheme="minorHAnsi" w:eastAsiaTheme="minorEastAsia" w:hAnsiTheme="minorHAnsi" w:cstheme="minorBidi"/>
            <w:b w:val="0"/>
            <w:i w:val="0"/>
            <w:sz w:val="22"/>
            <w:szCs w:val="22"/>
          </w:rPr>
          <w:tab/>
        </w:r>
        <w:r w:rsidR="003A2F4E" w:rsidRPr="00F31E34">
          <w:rPr>
            <w:rStyle w:val="Hyperlink"/>
          </w:rPr>
          <w:t>The Aboriginal and Torres Strait Islander Child Placement Principle: Issues with compliance, identification and placement</w:t>
        </w:r>
        <w:r w:rsidR="003A2F4E">
          <w:rPr>
            <w:webHidden/>
          </w:rPr>
          <w:tab/>
        </w:r>
        <w:r w:rsidR="003A2F4E">
          <w:rPr>
            <w:webHidden/>
          </w:rPr>
          <w:fldChar w:fldCharType="begin"/>
        </w:r>
        <w:r w:rsidR="003A2F4E">
          <w:rPr>
            <w:webHidden/>
          </w:rPr>
          <w:instrText xml:space="preserve"> PAGEREF _Toc516142242 \h </w:instrText>
        </w:r>
        <w:r w:rsidR="003A2F4E">
          <w:rPr>
            <w:webHidden/>
          </w:rPr>
        </w:r>
        <w:r w:rsidR="003A2F4E">
          <w:rPr>
            <w:webHidden/>
          </w:rPr>
          <w:fldChar w:fldCharType="separate"/>
        </w:r>
        <w:r w:rsidR="003A2F4E">
          <w:rPr>
            <w:webHidden/>
          </w:rPr>
          <w:t>18</w:t>
        </w:r>
        <w:r w:rsidR="003A2F4E">
          <w:rPr>
            <w:webHidden/>
          </w:rPr>
          <w:fldChar w:fldCharType="end"/>
        </w:r>
      </w:hyperlink>
    </w:p>
    <w:p w14:paraId="6DD566D2" w14:textId="26AAF8DB" w:rsidR="003A2F4E" w:rsidRDefault="00AC0B7E">
      <w:pPr>
        <w:pStyle w:val="TOC2"/>
        <w:rPr>
          <w:rFonts w:asciiTheme="minorHAnsi" w:eastAsiaTheme="minorEastAsia" w:hAnsiTheme="minorHAnsi" w:cstheme="minorBidi"/>
          <w:b w:val="0"/>
          <w:i w:val="0"/>
          <w:sz w:val="22"/>
          <w:szCs w:val="22"/>
        </w:rPr>
      </w:pPr>
      <w:hyperlink w:anchor="_Toc516142243" w:history="1">
        <w:r w:rsidR="003A2F4E" w:rsidRPr="00F31E34">
          <w:rPr>
            <w:rStyle w:val="Hyperlink"/>
          </w:rPr>
          <w:t>7.4</w:t>
        </w:r>
        <w:r w:rsidR="003A2F4E">
          <w:rPr>
            <w:rFonts w:asciiTheme="minorHAnsi" w:eastAsiaTheme="minorEastAsia" w:hAnsiTheme="minorHAnsi" w:cstheme="minorBidi"/>
            <w:b w:val="0"/>
            <w:i w:val="0"/>
            <w:sz w:val="22"/>
            <w:szCs w:val="22"/>
          </w:rPr>
          <w:tab/>
        </w:r>
        <w:r w:rsidR="003A2F4E" w:rsidRPr="00F31E34">
          <w:rPr>
            <w:rStyle w:val="Hyperlink"/>
          </w:rPr>
          <w:t>Financial and cultural support, carer shortages and lack of   oversight</w:t>
        </w:r>
        <w:r w:rsidR="003A2F4E">
          <w:rPr>
            <w:webHidden/>
          </w:rPr>
          <w:tab/>
        </w:r>
        <w:r w:rsidR="003A2F4E">
          <w:rPr>
            <w:webHidden/>
          </w:rPr>
          <w:fldChar w:fldCharType="begin"/>
        </w:r>
        <w:r w:rsidR="003A2F4E">
          <w:rPr>
            <w:webHidden/>
          </w:rPr>
          <w:instrText xml:space="preserve"> PAGEREF _Toc516142243 \h </w:instrText>
        </w:r>
        <w:r w:rsidR="003A2F4E">
          <w:rPr>
            <w:webHidden/>
          </w:rPr>
        </w:r>
        <w:r w:rsidR="003A2F4E">
          <w:rPr>
            <w:webHidden/>
          </w:rPr>
          <w:fldChar w:fldCharType="separate"/>
        </w:r>
        <w:r w:rsidR="003A2F4E">
          <w:rPr>
            <w:webHidden/>
          </w:rPr>
          <w:t>20</w:t>
        </w:r>
        <w:r w:rsidR="003A2F4E">
          <w:rPr>
            <w:webHidden/>
          </w:rPr>
          <w:fldChar w:fldCharType="end"/>
        </w:r>
      </w:hyperlink>
    </w:p>
    <w:p w14:paraId="2ED680B9" w14:textId="5137C152" w:rsidR="003A2F4E" w:rsidRDefault="00AC0B7E">
      <w:pPr>
        <w:pStyle w:val="TOC2"/>
        <w:rPr>
          <w:rFonts w:asciiTheme="minorHAnsi" w:eastAsiaTheme="minorEastAsia" w:hAnsiTheme="minorHAnsi" w:cstheme="minorBidi"/>
          <w:b w:val="0"/>
          <w:i w:val="0"/>
          <w:sz w:val="22"/>
          <w:szCs w:val="22"/>
        </w:rPr>
      </w:pPr>
      <w:hyperlink w:anchor="_Toc516142244" w:history="1">
        <w:r w:rsidR="003A2F4E" w:rsidRPr="00F31E34">
          <w:rPr>
            <w:rStyle w:val="Hyperlink"/>
          </w:rPr>
          <w:t>7.5</w:t>
        </w:r>
        <w:r w:rsidR="003A2F4E">
          <w:rPr>
            <w:rFonts w:asciiTheme="minorHAnsi" w:eastAsiaTheme="minorEastAsia" w:hAnsiTheme="minorHAnsi" w:cstheme="minorBidi"/>
            <w:b w:val="0"/>
            <w:i w:val="0"/>
            <w:sz w:val="22"/>
            <w:szCs w:val="22"/>
          </w:rPr>
          <w:tab/>
        </w:r>
        <w:r w:rsidR="003A2F4E" w:rsidRPr="00F31E34">
          <w:rPr>
            <w:rStyle w:val="Hyperlink"/>
          </w:rPr>
          <w:t>Safeguarding Aboriginal and Torres Strait Islander children</w:t>
        </w:r>
        <w:r w:rsidR="003A2F4E">
          <w:rPr>
            <w:webHidden/>
          </w:rPr>
          <w:tab/>
        </w:r>
        <w:r w:rsidR="003A2F4E">
          <w:rPr>
            <w:webHidden/>
          </w:rPr>
          <w:fldChar w:fldCharType="begin"/>
        </w:r>
        <w:r w:rsidR="003A2F4E">
          <w:rPr>
            <w:webHidden/>
          </w:rPr>
          <w:instrText xml:space="preserve"> PAGEREF _Toc516142244 \h </w:instrText>
        </w:r>
        <w:r w:rsidR="003A2F4E">
          <w:rPr>
            <w:webHidden/>
          </w:rPr>
        </w:r>
        <w:r w:rsidR="003A2F4E">
          <w:rPr>
            <w:webHidden/>
          </w:rPr>
          <w:fldChar w:fldCharType="separate"/>
        </w:r>
        <w:r w:rsidR="003A2F4E">
          <w:rPr>
            <w:webHidden/>
          </w:rPr>
          <w:t>20</w:t>
        </w:r>
        <w:r w:rsidR="003A2F4E">
          <w:rPr>
            <w:webHidden/>
          </w:rPr>
          <w:fldChar w:fldCharType="end"/>
        </w:r>
      </w:hyperlink>
    </w:p>
    <w:p w14:paraId="76150B8D" w14:textId="78C8226C" w:rsidR="003A2F4E" w:rsidRDefault="00AC0B7E">
      <w:pPr>
        <w:pStyle w:val="TOC1"/>
        <w:rPr>
          <w:rFonts w:asciiTheme="minorHAnsi" w:eastAsiaTheme="minorEastAsia" w:hAnsiTheme="minorHAnsi" w:cstheme="minorBidi"/>
          <w:b w:val="0"/>
          <w:szCs w:val="22"/>
        </w:rPr>
      </w:pPr>
      <w:hyperlink w:anchor="_Toc516142245" w:history="1">
        <w:r w:rsidR="003A2F4E" w:rsidRPr="00F31E34">
          <w:rPr>
            <w:rStyle w:val="Hyperlink"/>
            <w:lang w:val="en"/>
          </w:rPr>
          <w:t>8</w:t>
        </w:r>
        <w:r w:rsidR="003A2F4E">
          <w:rPr>
            <w:rFonts w:asciiTheme="minorHAnsi" w:eastAsiaTheme="minorEastAsia" w:hAnsiTheme="minorHAnsi" w:cstheme="minorBidi"/>
            <w:b w:val="0"/>
            <w:szCs w:val="22"/>
          </w:rPr>
          <w:tab/>
        </w:r>
        <w:r w:rsidR="003A2F4E" w:rsidRPr="00F31E34">
          <w:rPr>
            <w:rStyle w:val="Hyperlink"/>
            <w:lang w:val="en"/>
          </w:rPr>
          <w:t>Guiding principles for a national framework on adoptions within Australia</w:t>
        </w:r>
        <w:r w:rsidR="003A2F4E">
          <w:rPr>
            <w:webHidden/>
          </w:rPr>
          <w:tab/>
        </w:r>
        <w:r w:rsidR="003A2F4E">
          <w:rPr>
            <w:webHidden/>
          </w:rPr>
          <w:fldChar w:fldCharType="begin"/>
        </w:r>
        <w:r w:rsidR="003A2F4E">
          <w:rPr>
            <w:webHidden/>
          </w:rPr>
          <w:instrText xml:space="preserve"> PAGEREF _Toc516142245 \h </w:instrText>
        </w:r>
        <w:r w:rsidR="003A2F4E">
          <w:rPr>
            <w:webHidden/>
          </w:rPr>
        </w:r>
        <w:r w:rsidR="003A2F4E">
          <w:rPr>
            <w:webHidden/>
          </w:rPr>
          <w:fldChar w:fldCharType="separate"/>
        </w:r>
        <w:r w:rsidR="003A2F4E">
          <w:rPr>
            <w:webHidden/>
          </w:rPr>
          <w:t>21</w:t>
        </w:r>
        <w:r w:rsidR="003A2F4E">
          <w:rPr>
            <w:webHidden/>
          </w:rPr>
          <w:fldChar w:fldCharType="end"/>
        </w:r>
      </w:hyperlink>
    </w:p>
    <w:p w14:paraId="3BF2AA61" w14:textId="3F870014" w:rsidR="00B34946" w:rsidRDefault="00B63D24" w:rsidP="00B63D24">
      <w:r>
        <w:fldChar w:fldCharType="end"/>
      </w:r>
    </w:p>
    <w:p w14:paraId="677F1D95" w14:textId="77777777" w:rsidR="00B34946" w:rsidRDefault="00B34946">
      <w:pPr>
        <w:spacing w:before="0" w:after="0"/>
      </w:pPr>
      <w:r>
        <w:br w:type="page"/>
      </w:r>
    </w:p>
    <w:p w14:paraId="5B789492" w14:textId="4FFBF76B" w:rsidR="006B6E3D" w:rsidRDefault="00B34946" w:rsidP="00C56C2D">
      <w:pPr>
        <w:pStyle w:val="Heading1"/>
        <w:numPr>
          <w:ilvl w:val="0"/>
          <w:numId w:val="16"/>
        </w:numPr>
        <w:tabs>
          <w:tab w:val="clear" w:pos="851"/>
          <w:tab w:val="num" w:pos="-589"/>
        </w:tabs>
      </w:pPr>
      <w:bookmarkStart w:id="11" w:name="_Toc207761830"/>
      <w:bookmarkStart w:id="12" w:name="_Toc209578266"/>
      <w:bookmarkStart w:id="13" w:name="_Toc516142228"/>
      <w:r w:rsidRPr="001E1304">
        <w:lastRenderedPageBreak/>
        <w:t>Introduction</w:t>
      </w:r>
      <w:bookmarkEnd w:id="11"/>
      <w:bookmarkEnd w:id="12"/>
      <w:bookmarkEnd w:id="13"/>
      <w:r w:rsidRPr="001E1304">
        <w:t xml:space="preserve"> </w:t>
      </w:r>
    </w:p>
    <w:p w14:paraId="519D1197" w14:textId="77777777" w:rsidR="00D60F0E" w:rsidRDefault="00D60F0E" w:rsidP="00D60F0E">
      <w:pPr>
        <w:pStyle w:val="SubmissionNormal"/>
        <w:tabs>
          <w:tab w:val="clear" w:pos="786"/>
        </w:tabs>
        <w:ind w:left="720" w:hanging="720"/>
      </w:pPr>
      <w:r>
        <w:t>The Australian Human Rights Commission makes this submission to the Standing Committee on Social Policy and Legal Affairs in its inquiry into local adoption.</w:t>
      </w:r>
    </w:p>
    <w:p w14:paraId="6E82E8EC" w14:textId="77777777" w:rsidR="00D60F0E" w:rsidRDefault="005C4178" w:rsidP="00D60F0E">
      <w:pPr>
        <w:pStyle w:val="SubmissionNormal"/>
        <w:tabs>
          <w:tab w:val="clear" w:pos="786"/>
        </w:tabs>
        <w:ind w:left="720" w:hanging="720"/>
      </w:pPr>
      <w:r w:rsidRPr="003E1DA9">
        <w:t xml:space="preserve">The Commission is established by the </w:t>
      </w:r>
      <w:r w:rsidRPr="00D60F0E">
        <w:rPr>
          <w:i/>
        </w:rPr>
        <w:t>Australian Human Rights Commission Act 1986</w:t>
      </w:r>
      <w:r w:rsidRPr="003E1DA9">
        <w:t xml:space="preserve"> (Cth)</w:t>
      </w:r>
      <w:r>
        <w:t>. T</w:t>
      </w:r>
      <w:r w:rsidRPr="00605E16">
        <w:t>he Commission is an ‘A status’ national human rights institution</w:t>
      </w:r>
      <w:r w:rsidR="0034210B">
        <w:t>,</w:t>
      </w:r>
      <w:r w:rsidRPr="00605E16">
        <w:t xml:space="preserve"> es</w:t>
      </w:r>
      <w:r w:rsidR="0034210B">
        <w:t xml:space="preserve">tablished and operating in </w:t>
      </w:r>
      <w:r w:rsidRPr="00605E16">
        <w:t xml:space="preserve">compliance with the </w:t>
      </w:r>
      <w:r w:rsidR="00DF323B">
        <w:t>Principles relating to the Status of National Institutions (</w:t>
      </w:r>
      <w:r w:rsidRPr="00605E16">
        <w:t>Paris Principles</w:t>
      </w:r>
      <w:r w:rsidR="00DF323B">
        <w:t>)</w:t>
      </w:r>
      <w:r w:rsidRPr="009640F7">
        <w:t>.</w:t>
      </w:r>
      <w:r>
        <w:rPr>
          <w:rStyle w:val="EndnoteReference"/>
        </w:rPr>
        <w:endnoteReference w:id="1"/>
      </w:r>
    </w:p>
    <w:p w14:paraId="14081456" w14:textId="1B63706F" w:rsidR="000B4E0E" w:rsidRPr="00D60F0E" w:rsidRDefault="000B4E0E" w:rsidP="00D60F0E">
      <w:pPr>
        <w:pStyle w:val="SubmissionNormal"/>
        <w:tabs>
          <w:tab w:val="clear" w:pos="786"/>
        </w:tabs>
        <w:ind w:left="720" w:hanging="720"/>
      </w:pPr>
      <w:r>
        <w:t xml:space="preserve">The Commission notes that the </w:t>
      </w:r>
      <w:r w:rsidRPr="00D60F0E">
        <w:rPr>
          <w:lang w:val="en"/>
        </w:rPr>
        <w:t xml:space="preserve">Committee will inquire into </w:t>
      </w:r>
      <w:r w:rsidR="00C06CA1" w:rsidRPr="00D60F0E">
        <w:rPr>
          <w:lang w:val="en"/>
        </w:rPr>
        <w:t>‘</w:t>
      </w:r>
      <w:r w:rsidRPr="00D60F0E">
        <w:rPr>
          <w:lang w:val="en"/>
        </w:rPr>
        <w:t>approaches to a nationally consistent framework for local adoption in Australia, with specific reference to:</w:t>
      </w:r>
    </w:p>
    <w:p w14:paraId="21B358AA" w14:textId="041034F4" w:rsidR="00D60F0E" w:rsidRPr="000B4E0E" w:rsidRDefault="00D60F0E" w:rsidP="00C56C2D">
      <w:pPr>
        <w:pStyle w:val="SubmissionNormal"/>
        <w:numPr>
          <w:ilvl w:val="1"/>
          <w:numId w:val="15"/>
        </w:numPr>
        <w:tabs>
          <w:tab w:val="clear" w:pos="1440"/>
          <w:tab w:val="num" w:pos="720"/>
        </w:tabs>
        <w:spacing w:before="120" w:after="120"/>
        <w:ind w:left="1434" w:hanging="357"/>
      </w:pPr>
      <w:r w:rsidRPr="000B4E0E">
        <w:rPr>
          <w:rFonts w:cs="Arial"/>
          <w:lang w:val="en"/>
        </w:rPr>
        <w:t>stability and permanency for children in out-of-home care with lo</w:t>
      </w:r>
      <w:r w:rsidR="00E854B1">
        <w:rPr>
          <w:rFonts w:cs="Arial"/>
          <w:lang w:val="en"/>
        </w:rPr>
        <w:t>cal adoption as a viable option;</w:t>
      </w:r>
      <w:r w:rsidRPr="000B4E0E">
        <w:rPr>
          <w:rFonts w:cs="Arial"/>
          <w:lang w:val="en"/>
        </w:rPr>
        <w:t xml:space="preserve"> and</w:t>
      </w:r>
    </w:p>
    <w:p w14:paraId="563E18F0" w14:textId="6096397B" w:rsidR="00D60F0E" w:rsidRPr="00D60F0E" w:rsidRDefault="00D60F0E" w:rsidP="00C56C2D">
      <w:pPr>
        <w:pStyle w:val="SubmissionNormal"/>
        <w:numPr>
          <w:ilvl w:val="1"/>
          <w:numId w:val="15"/>
        </w:numPr>
        <w:tabs>
          <w:tab w:val="clear" w:pos="1440"/>
          <w:tab w:val="num" w:pos="720"/>
        </w:tabs>
        <w:spacing w:before="120" w:after="120"/>
        <w:ind w:left="1434" w:hanging="357"/>
      </w:pPr>
      <w:r w:rsidRPr="000B4E0E">
        <w:rPr>
          <w:rFonts w:cs="Arial"/>
          <w:lang w:val="en"/>
        </w:rPr>
        <w:t>appropriate guiding principles for a national framework or code for local adoptions within Australia</w:t>
      </w:r>
      <w:r>
        <w:rPr>
          <w:rFonts w:cs="Arial"/>
          <w:lang w:val="en"/>
        </w:rPr>
        <w:t>’.</w:t>
      </w:r>
      <w:r>
        <w:rPr>
          <w:rStyle w:val="EndnoteReference"/>
          <w:rFonts w:cs="Arial"/>
          <w:lang w:val="en"/>
        </w:rPr>
        <w:endnoteReference w:id="2"/>
      </w:r>
    </w:p>
    <w:p w14:paraId="1B984548" w14:textId="5E6E5130" w:rsidR="00FB7DBD" w:rsidRPr="009B5EFD" w:rsidRDefault="00FB7DBD" w:rsidP="00D60F0E">
      <w:pPr>
        <w:pStyle w:val="SubmissionNormal"/>
        <w:tabs>
          <w:tab w:val="clear" w:pos="786"/>
        </w:tabs>
        <w:ind w:left="720" w:hanging="720"/>
      </w:pPr>
      <w:r w:rsidRPr="00334255">
        <w:t>The Commission u</w:t>
      </w:r>
      <w:r>
        <w:t xml:space="preserve">nderstands that the </w:t>
      </w:r>
      <w:r w:rsidRPr="00334255">
        <w:t xml:space="preserve">inquiry </w:t>
      </w:r>
      <w:r>
        <w:t>will con</w:t>
      </w:r>
      <w:r w:rsidRPr="00334255">
        <w:t xml:space="preserve">sider </w:t>
      </w:r>
      <w:r w:rsidR="002A58CE">
        <w:t xml:space="preserve">both </w:t>
      </w:r>
      <w:r>
        <w:t>types of adoption</w:t>
      </w:r>
      <w:r w:rsidRPr="00334255">
        <w:t xml:space="preserve"> within Australia</w:t>
      </w:r>
      <w:r w:rsidR="002A58CE">
        <w:t xml:space="preserve">, including: </w:t>
      </w:r>
      <w:r w:rsidRPr="00D60F0E">
        <w:rPr>
          <w:rFonts w:cs="Arial"/>
        </w:rPr>
        <w:t xml:space="preserve">‘known child adoptions’, being </w:t>
      </w:r>
      <w:r>
        <w:t xml:space="preserve">adoptions of </w:t>
      </w:r>
      <w:r w:rsidR="00FB7140">
        <w:t>c</w:t>
      </w:r>
      <w:r>
        <w:t>hildren born or permanently residing in Australia before the adoption, who have a pre-existing relation</w:t>
      </w:r>
      <w:r w:rsidR="00FB7140">
        <w:t>ship with the adoptive parent/s</w:t>
      </w:r>
      <w:r>
        <w:t>, and are generally not able to be adopted by</w:t>
      </w:r>
      <w:r w:rsidR="00FB7140">
        <w:t xml:space="preserve"> anyone other than the adoptive parent/s</w:t>
      </w:r>
      <w:r>
        <w:t>;</w:t>
      </w:r>
      <w:r>
        <w:rPr>
          <w:rStyle w:val="EndnoteReference"/>
          <w:rFonts w:cs="Arial"/>
        </w:rPr>
        <w:endnoteReference w:id="3"/>
      </w:r>
      <w:r>
        <w:t xml:space="preserve"> and ‘local adoptions’, being</w:t>
      </w:r>
      <w:r w:rsidRPr="00D60F0E">
        <w:rPr>
          <w:rFonts w:cs="Arial"/>
        </w:rPr>
        <w:t xml:space="preserve"> adoptions of children born or permanently residing in Australia before the adoption who are</w:t>
      </w:r>
      <w:r>
        <w:t xml:space="preserve"> </w:t>
      </w:r>
      <w:r w:rsidRPr="00D60F0E">
        <w:rPr>
          <w:rFonts w:cs="Arial"/>
        </w:rPr>
        <w:t>legally able to be placed for adoption, but generally have had no previous contact or relation</w:t>
      </w:r>
      <w:r w:rsidR="004B5581" w:rsidRPr="00D60F0E">
        <w:rPr>
          <w:rFonts w:cs="Arial"/>
        </w:rPr>
        <w:t>ship with the adoptive parent/s</w:t>
      </w:r>
      <w:r w:rsidRPr="00D60F0E">
        <w:rPr>
          <w:rFonts w:cs="Arial"/>
        </w:rPr>
        <w:t>.</w:t>
      </w:r>
      <w:r>
        <w:rPr>
          <w:rStyle w:val="EndnoteReference"/>
          <w:rFonts w:cs="Arial"/>
        </w:rPr>
        <w:endnoteReference w:id="4"/>
      </w:r>
    </w:p>
    <w:p w14:paraId="76296D92" w14:textId="7AB66612" w:rsidR="00D010FC" w:rsidRDefault="00A92DC1" w:rsidP="009B5EFD">
      <w:pPr>
        <w:pStyle w:val="SubmissionNormal"/>
        <w:tabs>
          <w:tab w:val="clear" w:pos="786"/>
        </w:tabs>
        <w:ind w:left="720" w:hanging="720"/>
      </w:pPr>
      <w:r>
        <w:t xml:space="preserve">This submission </w:t>
      </w:r>
      <w:r w:rsidR="00C3518E">
        <w:t xml:space="preserve">relates to </w:t>
      </w:r>
      <w:r w:rsidR="00604122">
        <w:t xml:space="preserve">both </w:t>
      </w:r>
      <w:r w:rsidR="00043F95">
        <w:t xml:space="preserve">types of adoption </w:t>
      </w:r>
      <w:r>
        <w:t>within Australia, including ‘local adoptions’ and ‘known child adoptio</w:t>
      </w:r>
      <w:r w:rsidR="002F284C">
        <w:t>ns’</w:t>
      </w:r>
      <w:r>
        <w:t>.</w:t>
      </w:r>
      <w:r w:rsidR="000D12F7">
        <w:t xml:space="preserve"> </w:t>
      </w:r>
    </w:p>
    <w:p w14:paraId="3CB87F20" w14:textId="394D7B33" w:rsidR="005C4178" w:rsidRPr="00D436C8" w:rsidRDefault="006C5369" w:rsidP="009B5EFD">
      <w:pPr>
        <w:pStyle w:val="SubmissionNormal"/>
        <w:tabs>
          <w:tab w:val="clear" w:pos="786"/>
        </w:tabs>
        <w:ind w:left="720" w:hanging="720"/>
      </w:pPr>
      <w:r>
        <w:t xml:space="preserve">The Commission </w:t>
      </w:r>
      <w:r w:rsidR="00E84A74">
        <w:t xml:space="preserve">is </w:t>
      </w:r>
      <w:r w:rsidR="004A4777">
        <w:t xml:space="preserve">supportive of </w:t>
      </w:r>
      <w:r w:rsidRPr="009B5EFD">
        <w:rPr>
          <w:rFonts w:cs="Arial"/>
          <w:lang w:val="en"/>
        </w:rPr>
        <w:t>a nationally</w:t>
      </w:r>
      <w:r w:rsidR="009F0C5C" w:rsidRPr="009B5EFD">
        <w:rPr>
          <w:rFonts w:cs="Arial"/>
          <w:lang w:val="en"/>
        </w:rPr>
        <w:t xml:space="preserve"> consistent framework for </w:t>
      </w:r>
      <w:r w:rsidRPr="009B5EFD">
        <w:rPr>
          <w:rFonts w:cs="Arial"/>
          <w:lang w:val="en"/>
        </w:rPr>
        <w:t>adoption</w:t>
      </w:r>
      <w:r w:rsidR="009F0C5C" w:rsidRPr="009B5EFD">
        <w:rPr>
          <w:rFonts w:cs="Arial"/>
          <w:lang w:val="en"/>
        </w:rPr>
        <w:t xml:space="preserve">s within </w:t>
      </w:r>
      <w:r w:rsidRPr="009B5EFD">
        <w:rPr>
          <w:rFonts w:cs="Arial"/>
          <w:lang w:val="en"/>
        </w:rPr>
        <w:t>Australia</w:t>
      </w:r>
      <w:r w:rsidR="00C7674D" w:rsidRPr="009B5EFD">
        <w:rPr>
          <w:rFonts w:cs="Arial"/>
          <w:lang w:val="en"/>
        </w:rPr>
        <w:t xml:space="preserve">. </w:t>
      </w:r>
      <w:r w:rsidR="007D59BD" w:rsidRPr="009B5EFD">
        <w:rPr>
          <w:lang w:val="en"/>
        </w:rPr>
        <w:t>This submission discusses</w:t>
      </w:r>
      <w:r w:rsidR="00004E0B" w:rsidRPr="009B5EFD">
        <w:rPr>
          <w:lang w:val="en"/>
        </w:rPr>
        <w:t>, at a high level</w:t>
      </w:r>
      <w:r w:rsidR="007D59BD" w:rsidRPr="009B5EFD">
        <w:rPr>
          <w:lang w:val="en"/>
        </w:rPr>
        <w:t>:</w:t>
      </w:r>
    </w:p>
    <w:p w14:paraId="6736C182" w14:textId="77777777" w:rsidR="00D436C8" w:rsidRDefault="00D436C8" w:rsidP="00C56C2D">
      <w:pPr>
        <w:pStyle w:val="SubmissionNormal"/>
        <w:numPr>
          <w:ilvl w:val="1"/>
          <w:numId w:val="15"/>
        </w:numPr>
        <w:tabs>
          <w:tab w:val="clear" w:pos="1440"/>
          <w:tab w:val="num" w:pos="720"/>
        </w:tabs>
        <w:spacing w:before="120" w:after="120"/>
        <w:ind w:left="1434" w:hanging="357"/>
      </w:pPr>
      <w:r>
        <w:t>the relevant international human rights framework, in particular the best interests of the child as the paramount consideration</w:t>
      </w:r>
    </w:p>
    <w:p w14:paraId="3AAA804D" w14:textId="77777777" w:rsidR="00D436C8" w:rsidRPr="00CE01DB" w:rsidRDefault="00D436C8" w:rsidP="00C56C2D">
      <w:pPr>
        <w:pStyle w:val="SubmissionNormal"/>
        <w:numPr>
          <w:ilvl w:val="1"/>
          <w:numId w:val="15"/>
        </w:numPr>
        <w:tabs>
          <w:tab w:val="clear" w:pos="1440"/>
          <w:tab w:val="num" w:pos="720"/>
        </w:tabs>
        <w:spacing w:before="120" w:after="120"/>
        <w:ind w:left="1434" w:hanging="357"/>
      </w:pPr>
      <w:r w:rsidRPr="00CE01DB">
        <w:rPr>
          <w:lang w:val="en"/>
        </w:rPr>
        <w:t>the number of children in out-of-home care in Australia</w:t>
      </w:r>
      <w:r>
        <w:rPr>
          <w:lang w:val="en"/>
        </w:rPr>
        <w:t xml:space="preserve"> and </w:t>
      </w:r>
      <w:r w:rsidRPr="00CE01DB">
        <w:rPr>
          <w:lang w:val="en"/>
        </w:rPr>
        <w:t>measures to reduce the number of children in out-of-home care</w:t>
      </w:r>
    </w:p>
    <w:p w14:paraId="3A08EF47" w14:textId="77777777" w:rsidR="00D436C8" w:rsidRPr="00CE01DB" w:rsidRDefault="00D436C8" w:rsidP="00C56C2D">
      <w:pPr>
        <w:pStyle w:val="SubmissionNormal"/>
        <w:numPr>
          <w:ilvl w:val="1"/>
          <w:numId w:val="15"/>
        </w:numPr>
        <w:tabs>
          <w:tab w:val="clear" w:pos="1440"/>
          <w:tab w:val="num" w:pos="720"/>
        </w:tabs>
        <w:spacing w:before="120" w:after="120"/>
        <w:ind w:left="1434" w:hanging="357"/>
      </w:pPr>
      <w:r w:rsidRPr="00CE01DB">
        <w:rPr>
          <w:lang w:val="en"/>
        </w:rPr>
        <w:t>the importance of stability and permanency for children</w:t>
      </w:r>
      <w:r>
        <w:rPr>
          <w:lang w:val="en"/>
        </w:rPr>
        <w:t>, particularly in the first few years of a child’s life</w:t>
      </w:r>
    </w:p>
    <w:p w14:paraId="03D04074" w14:textId="77777777" w:rsidR="00D436C8" w:rsidRPr="00336569" w:rsidRDefault="00D436C8" w:rsidP="00C56C2D">
      <w:pPr>
        <w:pStyle w:val="SubmissionNormal"/>
        <w:numPr>
          <w:ilvl w:val="1"/>
          <w:numId w:val="15"/>
        </w:numPr>
        <w:tabs>
          <w:tab w:val="clear" w:pos="1440"/>
          <w:tab w:val="num" w:pos="720"/>
        </w:tabs>
        <w:spacing w:before="120" w:after="120"/>
        <w:ind w:left="1434" w:hanging="357"/>
      </w:pPr>
      <w:r>
        <w:rPr>
          <w:lang w:val="en"/>
        </w:rPr>
        <w:t xml:space="preserve">adoption as one option for achieving stability and permanency when children are not able to be reunified with their birth family </w:t>
      </w:r>
      <w:r>
        <w:t>or that would not be in their best interests</w:t>
      </w:r>
    </w:p>
    <w:p w14:paraId="67454475" w14:textId="42C0FB18" w:rsidR="00D436C8" w:rsidRPr="009F0C5C" w:rsidRDefault="00D436C8" w:rsidP="00C56C2D">
      <w:pPr>
        <w:pStyle w:val="SubmissionNormal"/>
        <w:numPr>
          <w:ilvl w:val="1"/>
          <w:numId w:val="15"/>
        </w:numPr>
        <w:tabs>
          <w:tab w:val="clear" w:pos="1440"/>
          <w:tab w:val="num" w:pos="720"/>
        </w:tabs>
        <w:spacing w:before="120" w:after="120"/>
        <w:ind w:left="1434" w:hanging="357"/>
      </w:pPr>
      <w:r>
        <w:rPr>
          <w:lang w:val="en"/>
        </w:rPr>
        <w:t>distinct</w:t>
      </w:r>
      <w:r w:rsidRPr="009F0C5C">
        <w:rPr>
          <w:lang w:val="en"/>
        </w:rPr>
        <w:t xml:space="preserve"> </w:t>
      </w:r>
      <w:r>
        <w:rPr>
          <w:lang w:val="en"/>
        </w:rPr>
        <w:t xml:space="preserve">issues relating to the adoption of </w:t>
      </w:r>
      <w:r w:rsidRPr="009F0C5C">
        <w:rPr>
          <w:lang w:val="en"/>
        </w:rPr>
        <w:t>Aboriginal and Torres Strait Islander children</w:t>
      </w:r>
      <w:r w:rsidR="00E854B1">
        <w:rPr>
          <w:lang w:val="en"/>
        </w:rPr>
        <w:t xml:space="preserve">, </w:t>
      </w:r>
      <w:r>
        <w:rPr>
          <w:lang w:val="en"/>
        </w:rPr>
        <w:t>that necessitate rigorous efforts to ensure connection to culture</w:t>
      </w:r>
      <w:r w:rsidRPr="009F0C5C">
        <w:t xml:space="preserve"> </w:t>
      </w:r>
      <w:r w:rsidRPr="009F0C5C">
        <w:rPr>
          <w:lang w:val="en"/>
        </w:rPr>
        <w:t xml:space="preserve"> </w:t>
      </w:r>
    </w:p>
    <w:p w14:paraId="7F1F592A" w14:textId="24D9B241" w:rsidR="00D436C8" w:rsidRPr="00D436C8" w:rsidRDefault="00D436C8" w:rsidP="00C56C2D">
      <w:pPr>
        <w:pStyle w:val="SubmissionNormal"/>
        <w:numPr>
          <w:ilvl w:val="1"/>
          <w:numId w:val="15"/>
        </w:numPr>
        <w:tabs>
          <w:tab w:val="clear" w:pos="1440"/>
          <w:tab w:val="num" w:pos="720"/>
        </w:tabs>
        <w:spacing w:before="120" w:after="120"/>
        <w:ind w:left="1434" w:hanging="357"/>
      </w:pPr>
      <w:r w:rsidRPr="00764AFB">
        <w:rPr>
          <w:lang w:val="en"/>
        </w:rPr>
        <w:lastRenderedPageBreak/>
        <w:t>guiding principles fo</w:t>
      </w:r>
      <w:r>
        <w:rPr>
          <w:lang w:val="en"/>
        </w:rPr>
        <w:t>r a national framework for</w:t>
      </w:r>
      <w:r w:rsidRPr="00764AFB">
        <w:rPr>
          <w:lang w:val="en"/>
        </w:rPr>
        <w:t xml:space="preserve"> adoptions within Australia.</w:t>
      </w:r>
    </w:p>
    <w:p w14:paraId="3BA5D11E" w14:textId="60B19A93" w:rsidR="00004E0B" w:rsidRDefault="00004E0B" w:rsidP="00D436C8">
      <w:pPr>
        <w:pStyle w:val="SubmissionNormal"/>
        <w:tabs>
          <w:tab w:val="clear" w:pos="786"/>
        </w:tabs>
        <w:ind w:left="720" w:hanging="720"/>
      </w:pPr>
      <w:r>
        <w:t xml:space="preserve">This submission is not a comprehensive </w:t>
      </w:r>
      <w:r w:rsidR="00A32F81">
        <w:t xml:space="preserve">consideration of </w:t>
      </w:r>
      <w:r w:rsidR="00A11CFC">
        <w:t>matters that</w:t>
      </w:r>
      <w:r w:rsidR="00F006FC">
        <w:t xml:space="preserve"> would</w:t>
      </w:r>
      <w:r w:rsidR="00A11CFC">
        <w:t xml:space="preserve"> need to be addressed </w:t>
      </w:r>
      <w:r w:rsidR="00FD7D3E">
        <w:t xml:space="preserve">when developing </w:t>
      </w:r>
      <w:r w:rsidR="00A11CFC">
        <w:t>a national framework for adoptions. It does not discuss, for example, current state and territory legislative provisions on adoption</w:t>
      </w:r>
      <w:r w:rsidR="00FD7D3E">
        <w:t>; individuals who might legitimately be excluded from being eligible to adopt a child, for example, because of criminal convictions for offences related to abuse or mistreatment of a child; or particular considerations for children from diverse backgrounds or circumstances</w:t>
      </w:r>
      <w:r w:rsidR="00EE07AE">
        <w:t>,</w:t>
      </w:r>
      <w:r w:rsidR="00FD7D3E">
        <w:t xml:space="preserve"> such as </w:t>
      </w:r>
      <w:r w:rsidR="00F006FC" w:rsidRPr="00F006FC">
        <w:t>children with disability, children from culturally and linguistically diverse backgrounds, and lesbian, gay, bisexual, transgender and intersex children and young people.</w:t>
      </w:r>
    </w:p>
    <w:p w14:paraId="1883DD0F" w14:textId="467A8F87" w:rsidR="00B6173B" w:rsidRDefault="00B6173B" w:rsidP="00C56C2D">
      <w:pPr>
        <w:pStyle w:val="Heading1"/>
        <w:numPr>
          <w:ilvl w:val="0"/>
          <w:numId w:val="16"/>
        </w:numPr>
        <w:tabs>
          <w:tab w:val="clear" w:pos="851"/>
          <w:tab w:val="num" w:pos="131"/>
        </w:tabs>
      </w:pPr>
      <w:bookmarkStart w:id="14" w:name="_Toc516142229"/>
      <w:r>
        <w:t>Su</w:t>
      </w:r>
      <w:r w:rsidRPr="00DD425D">
        <w:t>mmary</w:t>
      </w:r>
      <w:bookmarkEnd w:id="14"/>
    </w:p>
    <w:p w14:paraId="4022C7AC" w14:textId="05074964" w:rsidR="00612016" w:rsidRDefault="00612016" w:rsidP="00B6173B">
      <w:pPr>
        <w:pStyle w:val="SubmissionNormal"/>
        <w:tabs>
          <w:tab w:val="clear" w:pos="786"/>
        </w:tabs>
        <w:ind w:left="720" w:hanging="720"/>
      </w:pPr>
      <w:r>
        <w:t>A</w:t>
      </w:r>
      <w:r w:rsidRPr="00FA2152">
        <w:t xml:space="preserve">ll children have a right to be safe from all forms of abuse and neglect, and to be provided with the care </w:t>
      </w:r>
      <w:r>
        <w:t xml:space="preserve">and protection </w:t>
      </w:r>
      <w:r w:rsidRPr="00FA2152">
        <w:t xml:space="preserve">needed to ensure their </w:t>
      </w:r>
      <w:r>
        <w:t xml:space="preserve">physical and emotional </w:t>
      </w:r>
      <w:r w:rsidRPr="00FA2152">
        <w:t>wellbeing.</w:t>
      </w:r>
      <w:r>
        <w:t xml:space="preserve"> Ideally, all children in Australia would have safe and stable home environments and the opportunity to thrive, grow and develop with the care of family.</w:t>
      </w:r>
    </w:p>
    <w:p w14:paraId="06D96F9F" w14:textId="77777777" w:rsidR="00B6173B" w:rsidRDefault="00612016" w:rsidP="00B6173B">
      <w:pPr>
        <w:pStyle w:val="SubmissionNormal"/>
        <w:tabs>
          <w:tab w:val="clear" w:pos="786"/>
        </w:tabs>
        <w:ind w:left="720" w:hanging="720"/>
      </w:pPr>
      <w:r>
        <w:t xml:space="preserve">All children also have a right to enjoy their culture. This is an integral factor that impacts on their emotional and social wellbeing. </w:t>
      </w:r>
    </w:p>
    <w:p w14:paraId="60C5E251" w14:textId="77777777" w:rsidR="00B6173B" w:rsidRDefault="00364324" w:rsidP="00B6173B">
      <w:pPr>
        <w:pStyle w:val="SubmissionNormal"/>
        <w:tabs>
          <w:tab w:val="clear" w:pos="786"/>
        </w:tabs>
        <w:ind w:left="720" w:hanging="720"/>
      </w:pPr>
      <w:r>
        <w:t xml:space="preserve">In Australia, </w:t>
      </w:r>
      <w:r w:rsidR="00B24CF8">
        <w:t>t</w:t>
      </w:r>
      <w:r w:rsidR="007E235C">
        <w:t xml:space="preserve">here are </w:t>
      </w:r>
      <w:r w:rsidR="00105137">
        <w:t xml:space="preserve">almost 48,000 </w:t>
      </w:r>
      <w:r w:rsidR="007E235C">
        <w:t xml:space="preserve">children living in various forms of out-of-home care. </w:t>
      </w:r>
      <w:r w:rsidR="00D9136B">
        <w:t xml:space="preserve">The number is increasing, and </w:t>
      </w:r>
      <w:r w:rsidR="00D9136B" w:rsidRPr="00B6173B">
        <w:rPr>
          <w:lang w:val="en-US"/>
        </w:rPr>
        <w:t xml:space="preserve">Aboriginal and Torres Strait Islander children continue to be overrepresented. </w:t>
      </w:r>
      <w:r w:rsidR="00C12A8E">
        <w:t>Some</w:t>
      </w:r>
      <w:r w:rsidR="00370D5B">
        <w:t xml:space="preserve"> </w:t>
      </w:r>
      <w:r w:rsidR="00D9136B">
        <w:t xml:space="preserve">children in out-of-home care </w:t>
      </w:r>
      <w:r w:rsidR="00370D5B">
        <w:t>experience multiple</w:t>
      </w:r>
      <w:r w:rsidR="00722BD2">
        <w:t xml:space="preserve"> </w:t>
      </w:r>
      <w:r w:rsidR="00370D5B">
        <w:t>placements</w:t>
      </w:r>
      <w:r w:rsidR="00616F7E">
        <w:t xml:space="preserve"> over time</w:t>
      </w:r>
      <w:r w:rsidR="00370D5B">
        <w:t>, and many children leaving the out-of-home care system experience poor outcomes.</w:t>
      </w:r>
      <w:r w:rsidR="00D50F1A">
        <w:t xml:space="preserve"> </w:t>
      </w:r>
      <w:r w:rsidR="00142716" w:rsidRPr="00B6173B">
        <w:rPr>
          <w:lang w:val="en-US"/>
        </w:rPr>
        <w:t xml:space="preserve">Coordinated and strategic national investment in early intervention and prevention </w:t>
      </w:r>
      <w:r w:rsidR="00E17B2F" w:rsidRPr="00B6173B">
        <w:rPr>
          <w:lang w:val="en-US"/>
        </w:rPr>
        <w:t xml:space="preserve">initiatives </w:t>
      </w:r>
      <w:r w:rsidR="00D50F1A">
        <w:t xml:space="preserve">is critical to </w:t>
      </w:r>
      <w:r w:rsidR="00043F95">
        <w:t>minimise</w:t>
      </w:r>
      <w:r w:rsidR="00D50F1A">
        <w:t xml:space="preserve"> the extent to which children need to be placed in out-of-home care</w:t>
      </w:r>
      <w:r w:rsidR="0002326F">
        <w:t xml:space="preserve"> or other forms of substitute care</w:t>
      </w:r>
      <w:r w:rsidR="00D50F1A">
        <w:t>.</w:t>
      </w:r>
      <w:r w:rsidR="00142716">
        <w:t xml:space="preserve"> </w:t>
      </w:r>
    </w:p>
    <w:p w14:paraId="5F3167D7" w14:textId="77777777" w:rsidR="00B6173B" w:rsidRDefault="0002326F" w:rsidP="00B6173B">
      <w:pPr>
        <w:pStyle w:val="SubmissionNormal"/>
        <w:tabs>
          <w:tab w:val="clear" w:pos="786"/>
        </w:tabs>
        <w:ind w:left="720" w:hanging="720"/>
      </w:pPr>
      <w:r>
        <w:t>A</w:t>
      </w:r>
      <w:r w:rsidR="007F4888">
        <w:t xml:space="preserve">doption is one option for </w:t>
      </w:r>
      <w:r w:rsidR="002B3C80">
        <w:t xml:space="preserve">improving </w:t>
      </w:r>
      <w:r>
        <w:t xml:space="preserve">the life experiences of </w:t>
      </w:r>
      <w:r w:rsidR="00A64A78">
        <w:t>children</w:t>
      </w:r>
      <w:r>
        <w:t xml:space="preserve"> in out-of-home care</w:t>
      </w:r>
      <w:r w:rsidR="00A64A78">
        <w:t xml:space="preserve"> when it is not possible for them to be reunified with their birth </w:t>
      </w:r>
      <w:r w:rsidR="0039083A">
        <w:t>family</w:t>
      </w:r>
      <w:r w:rsidR="00A64A78">
        <w:t xml:space="preserve"> or that would not be in their best interests. </w:t>
      </w:r>
    </w:p>
    <w:p w14:paraId="3107C66C" w14:textId="77777777" w:rsidR="0063087C" w:rsidRDefault="00A64A78" w:rsidP="0063087C">
      <w:pPr>
        <w:pStyle w:val="SubmissionNormal"/>
        <w:tabs>
          <w:tab w:val="clear" w:pos="786"/>
        </w:tabs>
        <w:ind w:left="720" w:hanging="720"/>
      </w:pPr>
      <w:r>
        <w:t xml:space="preserve">Adoption is </w:t>
      </w:r>
      <w:r w:rsidR="00AC0713">
        <w:t>one way to create</w:t>
      </w:r>
      <w:r>
        <w:t xml:space="preserve"> stability and permanency in a child’s life</w:t>
      </w:r>
      <w:r w:rsidR="00B21A10">
        <w:t xml:space="preserve">. Stability and permanency are critical for </w:t>
      </w:r>
      <w:r w:rsidR="0092238A">
        <w:t xml:space="preserve">children – particularly </w:t>
      </w:r>
      <w:r w:rsidR="00835960" w:rsidRPr="00F31835">
        <w:t xml:space="preserve">in their early </w:t>
      </w:r>
      <w:r w:rsidR="00ED4CD4">
        <w:t>y</w:t>
      </w:r>
      <w:r w:rsidR="00835960" w:rsidRPr="00F31835">
        <w:t>ears</w:t>
      </w:r>
      <w:r w:rsidR="0092238A">
        <w:t xml:space="preserve"> – </w:t>
      </w:r>
      <w:r w:rsidR="00ED4CD4">
        <w:t xml:space="preserve">being </w:t>
      </w:r>
      <w:r w:rsidR="00835960" w:rsidRPr="00B6173B">
        <w:rPr>
          <w:lang w:val="en-US"/>
        </w:rPr>
        <w:t xml:space="preserve">fundamental to </w:t>
      </w:r>
      <w:r w:rsidR="00FC28E1" w:rsidRPr="00B6173B">
        <w:rPr>
          <w:lang w:val="en-US"/>
        </w:rPr>
        <w:t>their</w:t>
      </w:r>
      <w:r w:rsidR="00835960" w:rsidRPr="00B6173B">
        <w:rPr>
          <w:lang w:val="en-US"/>
        </w:rPr>
        <w:t xml:space="preserve"> </w:t>
      </w:r>
      <w:r w:rsidR="00FC28E1" w:rsidRPr="00B6173B">
        <w:rPr>
          <w:lang w:val="en-US"/>
        </w:rPr>
        <w:t xml:space="preserve">secure attachment and bonding, their health and </w:t>
      </w:r>
      <w:r w:rsidR="00835960" w:rsidRPr="00B6173B">
        <w:rPr>
          <w:lang w:val="en-US"/>
        </w:rPr>
        <w:t>wellbeing</w:t>
      </w:r>
      <w:r w:rsidR="00FC28E1" w:rsidRPr="00B6173B">
        <w:rPr>
          <w:lang w:val="en-US"/>
        </w:rPr>
        <w:t>,</w:t>
      </w:r>
      <w:r w:rsidR="00835960" w:rsidRPr="00B6173B">
        <w:rPr>
          <w:lang w:val="en-US"/>
        </w:rPr>
        <w:t xml:space="preserve"> and</w:t>
      </w:r>
      <w:r w:rsidR="00FC28E1" w:rsidRPr="00B6173B">
        <w:rPr>
          <w:lang w:val="en-US"/>
        </w:rPr>
        <w:t xml:space="preserve"> their</w:t>
      </w:r>
      <w:r w:rsidR="00835960" w:rsidRPr="00B6173B">
        <w:rPr>
          <w:lang w:val="en-US"/>
        </w:rPr>
        <w:t xml:space="preserve"> successful </w:t>
      </w:r>
      <w:r w:rsidR="00FC28E1" w:rsidRPr="00B6173B">
        <w:rPr>
          <w:lang w:val="en-US"/>
        </w:rPr>
        <w:t xml:space="preserve">transition </w:t>
      </w:r>
      <w:r w:rsidR="00835960" w:rsidRPr="00B6173B">
        <w:rPr>
          <w:lang w:val="en-US"/>
        </w:rPr>
        <w:t>to adulthood.</w:t>
      </w:r>
      <w:r w:rsidR="00E12067" w:rsidRPr="007C127D">
        <w:t xml:space="preserve"> </w:t>
      </w:r>
      <w:r w:rsidR="00FB55BC" w:rsidRPr="007C127D">
        <w:t xml:space="preserve">Planning for a permanent </w:t>
      </w:r>
      <w:r w:rsidR="00043F95">
        <w:t>care option</w:t>
      </w:r>
      <w:r w:rsidR="000A1739" w:rsidRPr="007C127D">
        <w:t xml:space="preserve"> – whether that be through </w:t>
      </w:r>
      <w:r w:rsidR="006E6688" w:rsidRPr="007C127D">
        <w:t>reunification with the child’s birth family</w:t>
      </w:r>
      <w:r w:rsidR="00663FF6">
        <w:t xml:space="preserve"> or another option such as </w:t>
      </w:r>
      <w:r w:rsidR="00F73B9C" w:rsidRPr="00B6173B">
        <w:rPr>
          <w:lang w:val="en-US"/>
        </w:rPr>
        <w:t>guardianship</w:t>
      </w:r>
      <w:r w:rsidR="00BA3E96" w:rsidRPr="00B6173B">
        <w:rPr>
          <w:lang w:val="en-US"/>
        </w:rPr>
        <w:t>, a permanent care order</w:t>
      </w:r>
      <w:r w:rsidR="00663FF6" w:rsidRPr="00B6173B">
        <w:rPr>
          <w:lang w:val="en-US"/>
        </w:rPr>
        <w:t xml:space="preserve"> </w:t>
      </w:r>
      <w:r w:rsidR="006E6688" w:rsidRPr="00B6173B">
        <w:rPr>
          <w:lang w:val="en-US"/>
        </w:rPr>
        <w:t>or adoption</w:t>
      </w:r>
      <w:r w:rsidR="006E6688" w:rsidRPr="007C127D">
        <w:t xml:space="preserve"> </w:t>
      </w:r>
      <w:r w:rsidR="000A1739" w:rsidRPr="007C127D">
        <w:t>– should begin early in a child’s engagement with the out-of-home care system.</w:t>
      </w:r>
    </w:p>
    <w:p w14:paraId="4E8902A0" w14:textId="77777777" w:rsidR="0063087C" w:rsidRDefault="000E6D98" w:rsidP="0063087C">
      <w:pPr>
        <w:pStyle w:val="SubmissionNormal"/>
        <w:tabs>
          <w:tab w:val="clear" w:pos="786"/>
        </w:tabs>
        <w:ind w:left="720" w:hanging="720"/>
      </w:pPr>
      <w:r>
        <w:t>While adoption can provide positive outcomes for children, it is not a step to be taken lightly</w:t>
      </w:r>
      <w:r w:rsidR="00F766A4">
        <w:t xml:space="preserve">. </w:t>
      </w:r>
      <w:r w:rsidR="00AA5B1B">
        <w:t xml:space="preserve">Lessons </w:t>
      </w:r>
      <w:r w:rsidR="00A440BE">
        <w:t xml:space="preserve">must be </w:t>
      </w:r>
      <w:r w:rsidR="00AA5B1B">
        <w:t xml:space="preserve">learned from previous inquiries into </w:t>
      </w:r>
      <w:r w:rsidR="00963AE9">
        <w:t>Australia’</w:t>
      </w:r>
      <w:r w:rsidR="00AA5B1B">
        <w:t xml:space="preserve">s past damaging practices of forced </w:t>
      </w:r>
      <w:r w:rsidR="007C127D">
        <w:t xml:space="preserve">removal </w:t>
      </w:r>
      <w:r w:rsidR="007C127D">
        <w:lastRenderedPageBreak/>
        <w:t xml:space="preserve">and forced </w:t>
      </w:r>
      <w:r w:rsidR="00AA5B1B">
        <w:t xml:space="preserve">adoption. </w:t>
      </w:r>
      <w:r w:rsidR="00F766A4">
        <w:t xml:space="preserve">Adoption must always be conducted in the context of sufficient </w:t>
      </w:r>
      <w:r w:rsidR="0048150D">
        <w:t xml:space="preserve">legal and practical </w:t>
      </w:r>
      <w:r w:rsidR="00F766A4">
        <w:t>safeguards to ensure that children’s rights and wellbeing are protected</w:t>
      </w:r>
      <w:r w:rsidR="00E003B5">
        <w:t xml:space="preserve">. </w:t>
      </w:r>
    </w:p>
    <w:p w14:paraId="5878C4B4" w14:textId="77777777" w:rsidR="00970A66" w:rsidRDefault="00666A4A" w:rsidP="00970A66">
      <w:pPr>
        <w:pStyle w:val="SubmissionNormal"/>
        <w:tabs>
          <w:tab w:val="clear" w:pos="786"/>
        </w:tabs>
        <w:ind w:left="720" w:hanging="720"/>
      </w:pPr>
      <w:r>
        <w:t>Further, a</w:t>
      </w:r>
      <w:r w:rsidR="00A52671">
        <w:t xml:space="preserve">doption should not be seen as a </w:t>
      </w:r>
      <w:r>
        <w:t xml:space="preserve">solution </w:t>
      </w:r>
      <w:r w:rsidR="00A52671">
        <w:t xml:space="preserve">to the significant problems of the existing </w:t>
      </w:r>
      <w:r w:rsidR="006919C8">
        <w:t xml:space="preserve">out-of-home </w:t>
      </w:r>
      <w:r w:rsidR="00A52671">
        <w:t xml:space="preserve">care and </w:t>
      </w:r>
      <w:r w:rsidR="006919C8">
        <w:t xml:space="preserve">child </w:t>
      </w:r>
      <w:r w:rsidR="00A52671">
        <w:t xml:space="preserve">protection systems operating nationally. </w:t>
      </w:r>
      <w:r w:rsidR="006919C8">
        <w:t xml:space="preserve">Adoption </w:t>
      </w:r>
      <w:r w:rsidR="00A52671">
        <w:t>is one option to be considered among many forms of intervention.</w:t>
      </w:r>
    </w:p>
    <w:p w14:paraId="7EA205F8" w14:textId="6121FDE2" w:rsidR="00970A66" w:rsidRDefault="00D42D42" w:rsidP="00970A66">
      <w:pPr>
        <w:pStyle w:val="SubmissionNormal"/>
        <w:tabs>
          <w:tab w:val="clear" w:pos="786"/>
        </w:tabs>
        <w:ind w:left="720" w:hanging="720"/>
      </w:pPr>
      <w:r w:rsidRPr="00736AA9">
        <w:t xml:space="preserve">The </w:t>
      </w:r>
      <w:r w:rsidRPr="00970A66">
        <w:rPr>
          <w:i/>
        </w:rPr>
        <w:t>Convention on the Rights of the Child</w:t>
      </w:r>
      <w:r w:rsidRPr="00736AA9">
        <w:t xml:space="preserve"> provides that </w:t>
      </w:r>
      <w:r w:rsidR="00CB5C92" w:rsidRPr="00736AA9">
        <w:t>a child should not be separated from their parents against their will</w:t>
      </w:r>
      <w:r w:rsidR="002B27FA">
        <w:t>,</w:t>
      </w:r>
      <w:r w:rsidR="00CB5C92" w:rsidRPr="00736AA9">
        <w:t xml:space="preserve"> unless it is necessary for </w:t>
      </w:r>
      <w:r w:rsidR="000E4231">
        <w:t xml:space="preserve">the best interests of the child, and that the </w:t>
      </w:r>
      <w:r w:rsidRPr="00736AA9">
        <w:t>best interests of the child must be the paramount consideration in all adoption matter</w:t>
      </w:r>
      <w:r w:rsidR="000E4231">
        <w:t xml:space="preserve">s. </w:t>
      </w:r>
      <w:r w:rsidR="00CB5C92" w:rsidRPr="00736AA9">
        <w:t>Assessment of a child’s best interests must include r</w:t>
      </w:r>
      <w:r w:rsidR="000E4231">
        <w:t xml:space="preserve">espect for the child’s </w:t>
      </w:r>
      <w:r w:rsidR="00CB5C92" w:rsidRPr="00736AA9">
        <w:t xml:space="preserve">right to </w:t>
      </w:r>
      <w:r w:rsidR="000E4231">
        <w:t>express their views</w:t>
      </w:r>
      <w:r w:rsidR="0055036E">
        <w:t xml:space="preserve"> on matters affecting them, including adoption</w:t>
      </w:r>
      <w:r w:rsidR="009545B4">
        <w:t xml:space="preserve"> decisions</w:t>
      </w:r>
      <w:r w:rsidR="0055036E">
        <w:t>.</w:t>
      </w:r>
    </w:p>
    <w:p w14:paraId="3FC06737" w14:textId="2A407972" w:rsidR="00DE2A7D" w:rsidRDefault="00D03C92" w:rsidP="00970A66">
      <w:pPr>
        <w:pStyle w:val="SubmissionNormal"/>
        <w:tabs>
          <w:tab w:val="clear" w:pos="786"/>
        </w:tabs>
        <w:ind w:left="720" w:hanging="720"/>
      </w:pPr>
      <w:r w:rsidRPr="00D15BCB">
        <w:t xml:space="preserve">The </w:t>
      </w:r>
      <w:r w:rsidRPr="00970A66">
        <w:rPr>
          <w:i/>
        </w:rPr>
        <w:t xml:space="preserve">Convention on the Rights of the Child </w:t>
      </w:r>
      <w:r w:rsidRPr="00D15BCB">
        <w:t xml:space="preserve">also recognises that </w:t>
      </w:r>
      <w:r w:rsidR="00DF14AB" w:rsidRPr="00D15BCB">
        <w:t xml:space="preserve">children have the right to preserve their identity, </w:t>
      </w:r>
      <w:r w:rsidR="00D15BCB" w:rsidRPr="00D15BCB">
        <w:t xml:space="preserve">and that alternative care options for a child </w:t>
      </w:r>
      <w:r w:rsidR="00736AA9" w:rsidRPr="00D15BCB">
        <w:t>separated</w:t>
      </w:r>
      <w:r w:rsidR="00906481">
        <w:t xml:space="preserve"> from their family </w:t>
      </w:r>
      <w:r w:rsidR="00736AA9" w:rsidRPr="00D15BCB">
        <w:t xml:space="preserve">should </w:t>
      </w:r>
      <w:r w:rsidR="00D15BCB" w:rsidRPr="00D15BCB">
        <w:t xml:space="preserve">be considered with </w:t>
      </w:r>
      <w:r w:rsidR="00736AA9" w:rsidRPr="00D15BCB">
        <w:t xml:space="preserve">due regard </w:t>
      </w:r>
      <w:r w:rsidR="00D15BCB" w:rsidRPr="00D15BCB">
        <w:t xml:space="preserve">for </w:t>
      </w:r>
      <w:r w:rsidR="00736AA9" w:rsidRPr="00D15BCB">
        <w:t xml:space="preserve">the desirability of continuity in a child's upbringing and </w:t>
      </w:r>
      <w:r w:rsidR="0036086D">
        <w:t>for</w:t>
      </w:r>
      <w:r w:rsidR="00906481">
        <w:t xml:space="preserve"> the child’</w:t>
      </w:r>
      <w:r w:rsidR="00736AA9" w:rsidRPr="00D15BCB">
        <w:t>s ethnic, religious, cul</w:t>
      </w:r>
      <w:r w:rsidR="00D15BCB" w:rsidRPr="00D15BCB">
        <w:t>tural and linguistic background.</w:t>
      </w:r>
      <w:r w:rsidR="00906481">
        <w:t xml:space="preserve"> </w:t>
      </w:r>
      <w:r w:rsidR="00A06504">
        <w:t>C</w:t>
      </w:r>
      <w:r w:rsidR="00B24893">
        <w:t>ontemporary adoption should be ‘open’ and should ensure continuing connection to</w:t>
      </w:r>
      <w:r w:rsidR="00A06504">
        <w:t xml:space="preserve"> children’s culture and family</w:t>
      </w:r>
      <w:r w:rsidR="00B24893">
        <w:t>.</w:t>
      </w:r>
    </w:p>
    <w:p w14:paraId="528BAE9F" w14:textId="68580D04" w:rsidR="003557C8" w:rsidRPr="00970A66" w:rsidRDefault="00A52671" w:rsidP="00970A66">
      <w:pPr>
        <w:pStyle w:val="SubmissionNormal"/>
        <w:tabs>
          <w:tab w:val="clear" w:pos="786"/>
        </w:tabs>
        <w:ind w:left="720" w:hanging="720"/>
      </w:pPr>
      <w:r>
        <w:t>A number of inquiries have noted th</w:t>
      </w:r>
      <w:r w:rsidR="000E080E">
        <w:t>e</w:t>
      </w:r>
      <w:r>
        <w:t xml:space="preserve"> vulnerability of</w:t>
      </w:r>
      <w:r w:rsidR="001F6964">
        <w:t xml:space="preserve"> Aboriginal and Torres Strait Islander children</w:t>
      </w:r>
      <w:r>
        <w:t xml:space="preserve"> and the need for specific safeguards when</w:t>
      </w:r>
      <w:r w:rsidR="00E25C6D">
        <w:t xml:space="preserve"> a</w:t>
      </w:r>
      <w:r w:rsidR="00863C22">
        <w:t xml:space="preserve">doption </w:t>
      </w:r>
      <w:r>
        <w:t xml:space="preserve">is being considered. For example, </w:t>
      </w:r>
      <w:r w:rsidR="00863C22">
        <w:t xml:space="preserve">the </w:t>
      </w:r>
      <w:r w:rsidR="00863C22" w:rsidRPr="00970A66">
        <w:rPr>
          <w:i/>
        </w:rPr>
        <w:t>Bringing them Home</w:t>
      </w:r>
      <w:r w:rsidR="002977A5">
        <w:t xml:space="preserve"> r</w:t>
      </w:r>
      <w:r w:rsidR="00863C22">
        <w:t>eport</w:t>
      </w:r>
      <w:r>
        <w:t xml:space="preserve"> in 1997</w:t>
      </w:r>
      <w:r w:rsidR="00863C22">
        <w:t xml:space="preserve"> </w:t>
      </w:r>
      <w:r>
        <w:t xml:space="preserve">recommended </w:t>
      </w:r>
      <w:r w:rsidR="00863C22">
        <w:t xml:space="preserve">that adoption should be an </w:t>
      </w:r>
      <w:r w:rsidR="00B766E2">
        <w:t xml:space="preserve">option </w:t>
      </w:r>
      <w:r w:rsidR="002977A5">
        <w:t xml:space="preserve">of last resort. </w:t>
      </w:r>
      <w:r>
        <w:t>This and other inquiries have also emphasised the importance of</w:t>
      </w:r>
      <w:r w:rsidR="008F1ECF">
        <w:t xml:space="preserve"> the Aboriginal and Torres Strait Islander Child Placement Principle</w:t>
      </w:r>
      <w:r w:rsidR="00B93654">
        <w:t xml:space="preserve">. This </w:t>
      </w:r>
      <w:r w:rsidR="00863C22">
        <w:t xml:space="preserve">recognises </w:t>
      </w:r>
      <w:r w:rsidR="00863C22" w:rsidRPr="00863C22">
        <w:t xml:space="preserve">the importance of enhancing and maintaining the connections of </w:t>
      </w:r>
      <w:r w:rsidR="00863C22">
        <w:t>Aboriginal and Torres Strait Islander</w:t>
      </w:r>
      <w:r w:rsidR="00863C22" w:rsidRPr="00863C22">
        <w:t xml:space="preserve"> children to </w:t>
      </w:r>
      <w:r w:rsidR="00863C22">
        <w:t xml:space="preserve">their </w:t>
      </w:r>
      <w:r w:rsidR="00FB22B1">
        <w:t xml:space="preserve">family, community </w:t>
      </w:r>
      <w:r w:rsidR="00863C22">
        <w:t>and culture</w:t>
      </w:r>
      <w:r w:rsidR="00863C22" w:rsidRPr="00970A66">
        <w:rPr>
          <w:rFonts w:cs="Arial"/>
          <w:color w:val="000000" w:themeColor="text1"/>
        </w:rPr>
        <w:t xml:space="preserve">, </w:t>
      </w:r>
      <w:r w:rsidR="00FB22B1" w:rsidRPr="00970A66">
        <w:rPr>
          <w:rFonts w:cs="Arial"/>
          <w:color w:val="000000" w:themeColor="text1"/>
        </w:rPr>
        <w:t>as well as</w:t>
      </w:r>
      <w:r w:rsidR="00863C22" w:rsidRPr="00970A66">
        <w:rPr>
          <w:rFonts w:cs="Arial"/>
          <w:color w:val="000000" w:themeColor="text1"/>
        </w:rPr>
        <w:t xml:space="preserve"> the </w:t>
      </w:r>
      <w:r w:rsidR="00AD7DDB" w:rsidRPr="00970A66">
        <w:rPr>
          <w:rFonts w:cs="Arial"/>
          <w:color w:val="000000" w:themeColor="text1"/>
        </w:rPr>
        <w:t>vital</w:t>
      </w:r>
      <w:r w:rsidR="00863C22" w:rsidRPr="00970A66">
        <w:rPr>
          <w:rFonts w:cs="Arial"/>
          <w:color w:val="000000" w:themeColor="text1"/>
        </w:rPr>
        <w:t xml:space="preserve"> role of Aboriginal and Torres Strait Islander families and communities participating in decisions about the safety and wellbeing of </w:t>
      </w:r>
      <w:r w:rsidR="00AD7DDB" w:rsidRPr="00970A66">
        <w:rPr>
          <w:rFonts w:cs="Arial"/>
          <w:color w:val="000000" w:themeColor="text1"/>
        </w:rPr>
        <w:t xml:space="preserve">their </w:t>
      </w:r>
      <w:r w:rsidR="00863C22" w:rsidRPr="00970A66">
        <w:rPr>
          <w:rFonts w:cs="Arial"/>
          <w:color w:val="000000" w:themeColor="text1"/>
        </w:rPr>
        <w:t>children</w:t>
      </w:r>
      <w:r w:rsidR="00FB22B1" w:rsidRPr="00970A66">
        <w:rPr>
          <w:rFonts w:cs="Arial"/>
          <w:color w:val="000000" w:themeColor="text1"/>
        </w:rPr>
        <w:t>.</w:t>
      </w:r>
      <w:r w:rsidR="005A7AD9" w:rsidRPr="00970A66">
        <w:rPr>
          <w:rFonts w:cs="Arial"/>
        </w:rPr>
        <w:t xml:space="preserve"> </w:t>
      </w:r>
    </w:p>
    <w:p w14:paraId="07DF9F1E" w14:textId="109A6CB8" w:rsidR="00863C22" w:rsidRDefault="003557C8" w:rsidP="00970A66">
      <w:pPr>
        <w:pStyle w:val="SubmissionNormal"/>
        <w:tabs>
          <w:tab w:val="clear" w:pos="786"/>
        </w:tabs>
        <w:ind w:left="720" w:hanging="720"/>
      </w:pPr>
      <w:r w:rsidRPr="00361067">
        <w:t>The Commission urges the engagement of</w:t>
      </w:r>
      <w:r w:rsidR="00863C22" w:rsidRPr="00361067">
        <w:t xml:space="preserve"> relevant Aboriginal and Torres Strait Islander </w:t>
      </w:r>
      <w:r w:rsidR="00CD0AAB" w:rsidRPr="00361067">
        <w:t>child welfare and family service agencies</w:t>
      </w:r>
      <w:r w:rsidR="00863C22" w:rsidRPr="00361067">
        <w:t xml:space="preserve"> in the development of any national framework for adoptions</w:t>
      </w:r>
      <w:r w:rsidRPr="00361067">
        <w:t>, as well as the direct involvement of affected Aboriginal and Torres Strait Islander families in all decisions about adoption</w:t>
      </w:r>
      <w:r w:rsidR="00863C22" w:rsidRPr="00361067">
        <w:t xml:space="preserve">. </w:t>
      </w:r>
    </w:p>
    <w:p w14:paraId="7ED79E25" w14:textId="64C5AD6D" w:rsidR="00970A66" w:rsidRDefault="003557C8" w:rsidP="00970A66">
      <w:pPr>
        <w:pStyle w:val="SubmissionNormal"/>
        <w:tabs>
          <w:tab w:val="clear" w:pos="786"/>
        </w:tabs>
        <w:ind w:left="720" w:hanging="720"/>
      </w:pPr>
      <w:r w:rsidRPr="00970A66">
        <w:rPr>
          <w:lang w:val="en"/>
        </w:rPr>
        <w:t>The Commission is supportive of a</w:t>
      </w:r>
      <w:r w:rsidR="000C0CC6" w:rsidRPr="00970A66">
        <w:rPr>
          <w:lang w:val="en"/>
        </w:rPr>
        <w:t xml:space="preserve"> national framework for</w:t>
      </w:r>
      <w:r w:rsidR="00927B0A" w:rsidRPr="00970A66">
        <w:rPr>
          <w:lang w:val="en"/>
        </w:rPr>
        <w:t xml:space="preserve"> adoptions</w:t>
      </w:r>
      <w:r w:rsidR="000C0CC6" w:rsidRPr="00970A66">
        <w:rPr>
          <w:lang w:val="en"/>
        </w:rPr>
        <w:t xml:space="preserve"> within Australia</w:t>
      </w:r>
      <w:r w:rsidR="002B3C80" w:rsidRPr="00970A66">
        <w:rPr>
          <w:lang w:val="en"/>
        </w:rPr>
        <w:t xml:space="preserve">. </w:t>
      </w:r>
      <w:r w:rsidR="009755A3" w:rsidRPr="00970A66">
        <w:rPr>
          <w:lang w:val="en"/>
        </w:rPr>
        <w:t xml:space="preserve">Ideally, a national framework </w:t>
      </w:r>
      <w:r w:rsidR="000746C9" w:rsidRPr="00970A66">
        <w:rPr>
          <w:lang w:val="en"/>
        </w:rPr>
        <w:t>would result in the standardisation of</w:t>
      </w:r>
      <w:r w:rsidR="00BD4424" w:rsidRPr="00970A66">
        <w:rPr>
          <w:lang w:val="en"/>
        </w:rPr>
        <w:t xml:space="preserve"> legal and regulato</w:t>
      </w:r>
      <w:r w:rsidR="00835960" w:rsidRPr="00970A66">
        <w:rPr>
          <w:lang w:val="en"/>
        </w:rPr>
        <w:t xml:space="preserve">ry provisions relating to </w:t>
      </w:r>
      <w:r w:rsidR="00BD4424" w:rsidRPr="00970A66">
        <w:rPr>
          <w:lang w:val="en"/>
        </w:rPr>
        <w:t xml:space="preserve">adoptions </w:t>
      </w:r>
      <w:r w:rsidR="00C174E7" w:rsidRPr="00970A66">
        <w:rPr>
          <w:lang w:val="en"/>
        </w:rPr>
        <w:t xml:space="preserve">across </w:t>
      </w:r>
      <w:r w:rsidR="00BD4424" w:rsidRPr="00970A66">
        <w:rPr>
          <w:lang w:val="en"/>
        </w:rPr>
        <w:t>Australia</w:t>
      </w:r>
      <w:r w:rsidR="00C174E7" w:rsidRPr="00970A66">
        <w:rPr>
          <w:lang w:val="en"/>
        </w:rPr>
        <w:t xml:space="preserve"> and would facilitate </w:t>
      </w:r>
      <w:r w:rsidR="00927B0A" w:rsidRPr="00970A66">
        <w:rPr>
          <w:lang w:val="en"/>
        </w:rPr>
        <w:t>adoption</w:t>
      </w:r>
      <w:r w:rsidR="0013568F" w:rsidRPr="00970A66">
        <w:rPr>
          <w:lang w:val="en"/>
        </w:rPr>
        <w:t xml:space="preserve">s where they </w:t>
      </w:r>
      <w:r w:rsidR="00D41836" w:rsidRPr="00970A66">
        <w:rPr>
          <w:lang w:val="en"/>
        </w:rPr>
        <w:t xml:space="preserve">are in the best interests of </w:t>
      </w:r>
      <w:r w:rsidR="00EE1872" w:rsidRPr="00970A66">
        <w:rPr>
          <w:lang w:val="en"/>
        </w:rPr>
        <w:t>the child</w:t>
      </w:r>
      <w:r w:rsidR="00D41836" w:rsidRPr="00970A66">
        <w:rPr>
          <w:lang w:val="en"/>
        </w:rPr>
        <w:t>.</w:t>
      </w:r>
      <w:r w:rsidR="009E4AA8" w:rsidRPr="00970A66">
        <w:rPr>
          <w:lang w:val="en"/>
        </w:rPr>
        <w:t xml:space="preserve"> </w:t>
      </w:r>
    </w:p>
    <w:p w14:paraId="3D1B9ACA" w14:textId="341574C6" w:rsidR="005E1F5E" w:rsidRDefault="00DF0939" w:rsidP="00970A66">
      <w:pPr>
        <w:pStyle w:val="SubmissionNormal"/>
        <w:tabs>
          <w:tab w:val="clear" w:pos="786"/>
        </w:tabs>
        <w:ind w:left="720" w:hanging="720"/>
      </w:pPr>
      <w:r>
        <w:t>G</w:t>
      </w:r>
      <w:r w:rsidR="00347F9A">
        <w:t>uiding</w:t>
      </w:r>
      <w:r w:rsidR="00B51337">
        <w:t xml:space="preserve"> princ</w:t>
      </w:r>
      <w:r w:rsidR="00BD4424">
        <w:t xml:space="preserve">iples should be included in a </w:t>
      </w:r>
      <w:r w:rsidR="00B51337">
        <w:t xml:space="preserve">national framework </w:t>
      </w:r>
      <w:r w:rsidR="00347F9A">
        <w:t>to ensure</w:t>
      </w:r>
      <w:r w:rsidR="002B3C80">
        <w:t xml:space="preserve"> that</w:t>
      </w:r>
      <w:r w:rsidR="00347F9A">
        <w:t xml:space="preserve"> children’s</w:t>
      </w:r>
      <w:r w:rsidR="002B3C80">
        <w:t xml:space="preserve"> human</w:t>
      </w:r>
      <w:r w:rsidR="00347F9A">
        <w:t xml:space="preserve"> rights </w:t>
      </w:r>
      <w:r w:rsidR="002B3C80">
        <w:t xml:space="preserve">and best interests </w:t>
      </w:r>
      <w:r w:rsidR="00347F9A">
        <w:t xml:space="preserve">are </w:t>
      </w:r>
      <w:r w:rsidR="00BF3C5B">
        <w:t>prioritised and</w:t>
      </w:r>
      <w:r w:rsidR="002B3C80">
        <w:t xml:space="preserve"> </w:t>
      </w:r>
      <w:r w:rsidR="00347F9A">
        <w:t>protected</w:t>
      </w:r>
      <w:r w:rsidR="00B51337">
        <w:t>.</w:t>
      </w:r>
      <w:r>
        <w:t xml:space="preserve"> </w:t>
      </w:r>
      <w:r w:rsidR="00BF3C5B">
        <w:t>Suggested</w:t>
      </w:r>
      <w:r w:rsidR="00835960">
        <w:t xml:space="preserve"> guiding</w:t>
      </w:r>
      <w:r w:rsidR="00BF3C5B">
        <w:t xml:space="preserve"> </w:t>
      </w:r>
      <w:r>
        <w:t xml:space="preserve">principles are outlined </w:t>
      </w:r>
      <w:r w:rsidRPr="001C0BC8">
        <w:t xml:space="preserve">in </w:t>
      </w:r>
      <w:r w:rsidR="00D41D8B" w:rsidRPr="001C0BC8">
        <w:t>section 8</w:t>
      </w:r>
      <w:r w:rsidRPr="001C0BC8">
        <w:t xml:space="preserve"> of this</w:t>
      </w:r>
      <w:r>
        <w:t xml:space="preserve"> submission.</w:t>
      </w:r>
    </w:p>
    <w:p w14:paraId="724D2F22" w14:textId="77777777" w:rsidR="002B27FA" w:rsidRDefault="002B27FA">
      <w:pPr>
        <w:spacing w:before="0" w:after="0"/>
        <w:rPr>
          <w:b/>
          <w:bCs/>
          <w:sz w:val="28"/>
          <w:szCs w:val="28"/>
        </w:rPr>
      </w:pPr>
      <w:bookmarkStart w:id="15" w:name="_Toc516142230"/>
      <w:r>
        <w:lastRenderedPageBreak/>
        <w:br w:type="page"/>
      </w:r>
    </w:p>
    <w:p w14:paraId="362D9E28" w14:textId="2B9AF246" w:rsidR="00CB0D97" w:rsidRDefault="00CB0D97" w:rsidP="00C56C2D">
      <w:pPr>
        <w:pStyle w:val="Heading1"/>
        <w:numPr>
          <w:ilvl w:val="0"/>
          <w:numId w:val="16"/>
        </w:numPr>
        <w:tabs>
          <w:tab w:val="clear" w:pos="851"/>
          <w:tab w:val="num" w:pos="131"/>
        </w:tabs>
      </w:pPr>
      <w:r w:rsidRPr="001E1304">
        <w:lastRenderedPageBreak/>
        <w:t>Recommendations</w:t>
      </w:r>
      <w:bookmarkEnd w:id="15"/>
    </w:p>
    <w:p w14:paraId="445D6127" w14:textId="59E4EAD6" w:rsidR="003524CF" w:rsidRDefault="00B34946" w:rsidP="003524CF">
      <w:pPr>
        <w:pStyle w:val="SubmissionNormal"/>
        <w:tabs>
          <w:tab w:val="clear" w:pos="786"/>
        </w:tabs>
        <w:ind w:left="720" w:hanging="720"/>
      </w:pPr>
      <w:r w:rsidRPr="008A0C37">
        <w:t xml:space="preserve">The Commission </w:t>
      </w:r>
      <w:r w:rsidRPr="008A7CC4">
        <w:rPr>
          <w:rStyle w:val="Heading3Char"/>
          <w:bCs w:val="0"/>
          <w:i w:val="0"/>
        </w:rPr>
        <w:t>re</w:t>
      </w:r>
      <w:r w:rsidRPr="008A0C37">
        <w:t>co</w:t>
      </w:r>
      <w:r w:rsidRPr="008A7CC4">
        <w:rPr>
          <w:rStyle w:val="Heading4Char"/>
          <w:iCs w:val="0"/>
        </w:rPr>
        <w:t>mm</w:t>
      </w:r>
      <w:r w:rsidRPr="008A0C37">
        <w:t xml:space="preserve">ends </w:t>
      </w:r>
      <w:r w:rsidR="00223112">
        <w:t>the following</w:t>
      </w:r>
      <w:r w:rsidR="00F31835">
        <w:t>:</w:t>
      </w:r>
    </w:p>
    <w:p w14:paraId="68839DED" w14:textId="77777777" w:rsidR="003B0BEC" w:rsidRPr="003B0BEC" w:rsidRDefault="00BB25D7" w:rsidP="00C56C2D">
      <w:pPr>
        <w:pStyle w:val="SubmissionNormal"/>
        <w:numPr>
          <w:ilvl w:val="0"/>
          <w:numId w:val="0"/>
        </w:numPr>
        <w:ind w:left="720"/>
      </w:pPr>
      <w:r w:rsidRPr="003B0BEC">
        <w:rPr>
          <w:b/>
          <w:lang w:val="en"/>
        </w:rPr>
        <w:t>Recommendation 1</w:t>
      </w:r>
      <w:r w:rsidRPr="003B0BEC">
        <w:rPr>
          <w:lang w:val="en"/>
        </w:rPr>
        <w:t>: A national framework for adoptions within Australia should be developed by all Australian governments and implemented nationally in order to standardise legal and regulatory provisions relating to adoptions across Australia and to facilitate adoptions where they are in the best interests of the child.</w:t>
      </w:r>
    </w:p>
    <w:p w14:paraId="3381EFFE" w14:textId="3697CCB8" w:rsidR="003B0BEC" w:rsidRPr="003B0BEC" w:rsidRDefault="00BB25D7" w:rsidP="00C56C2D">
      <w:pPr>
        <w:pStyle w:val="SubmissionNormal"/>
        <w:numPr>
          <w:ilvl w:val="0"/>
          <w:numId w:val="0"/>
        </w:numPr>
        <w:ind w:left="720"/>
      </w:pPr>
      <w:r w:rsidRPr="003B0BEC">
        <w:rPr>
          <w:b/>
        </w:rPr>
        <w:t>Recommendation 2</w:t>
      </w:r>
      <w:r>
        <w:t xml:space="preserve">: </w:t>
      </w:r>
      <w:r w:rsidRPr="00F31835">
        <w:t>Th</w:t>
      </w:r>
      <w:r>
        <w:t xml:space="preserve">e following guiding principles, further outlined in this submission, should be </w:t>
      </w:r>
      <w:r w:rsidRPr="003B0BEC">
        <w:rPr>
          <w:lang w:val="en"/>
        </w:rPr>
        <w:t>included in the national framework for adoptions within Australia to ensure that the framework reflects human rights protections for children:</w:t>
      </w:r>
    </w:p>
    <w:p w14:paraId="225B37B3" w14:textId="77777777" w:rsidR="003B0BEC" w:rsidRDefault="003B0BEC" w:rsidP="00C56C2D">
      <w:pPr>
        <w:pStyle w:val="SubmissionNormal"/>
        <w:numPr>
          <w:ilvl w:val="1"/>
          <w:numId w:val="15"/>
        </w:numPr>
        <w:tabs>
          <w:tab w:val="clear" w:pos="1440"/>
          <w:tab w:val="num" w:pos="720"/>
        </w:tabs>
        <w:spacing w:before="120" w:after="120"/>
        <w:ind w:left="1434" w:hanging="357"/>
      </w:pPr>
      <w:r w:rsidRPr="00787257">
        <w:t>The rights of the child will be respected and protected</w:t>
      </w:r>
      <w:r>
        <w:t>.</w:t>
      </w:r>
    </w:p>
    <w:p w14:paraId="20748BD8" w14:textId="77777777" w:rsidR="003B0BEC" w:rsidRDefault="003B0BEC" w:rsidP="00C56C2D">
      <w:pPr>
        <w:pStyle w:val="SubmissionNormal"/>
        <w:numPr>
          <w:ilvl w:val="1"/>
          <w:numId w:val="15"/>
        </w:numPr>
        <w:spacing w:before="120" w:after="120"/>
        <w:ind w:left="1434" w:hanging="357"/>
      </w:pPr>
      <w:r w:rsidRPr="00787257">
        <w:t>The best interests of the child will be the paramount consideration in all adoption matters</w:t>
      </w:r>
      <w:r>
        <w:t>.</w:t>
      </w:r>
    </w:p>
    <w:p w14:paraId="3225B1B0" w14:textId="77777777" w:rsidR="003B0BEC" w:rsidRPr="003B0BEC" w:rsidRDefault="003B0BEC" w:rsidP="00C56C2D">
      <w:pPr>
        <w:pStyle w:val="SubmissionNormal"/>
        <w:numPr>
          <w:ilvl w:val="1"/>
          <w:numId w:val="15"/>
        </w:numPr>
        <w:spacing w:before="120" w:after="120"/>
        <w:ind w:left="1434" w:hanging="357"/>
      </w:pPr>
      <w:r w:rsidRPr="00C56C2D">
        <w:t xml:space="preserve">Children’s rights to culture and identity will be respected. </w:t>
      </w:r>
    </w:p>
    <w:p w14:paraId="6B1E8D11" w14:textId="4036CA11" w:rsidR="003B0BEC" w:rsidRDefault="003B0BEC" w:rsidP="00C56C2D">
      <w:pPr>
        <w:pStyle w:val="SubmissionNormal"/>
        <w:numPr>
          <w:ilvl w:val="1"/>
          <w:numId w:val="15"/>
        </w:numPr>
        <w:spacing w:before="120" w:after="120"/>
        <w:ind w:left="1434" w:hanging="357"/>
      </w:pPr>
      <w:r w:rsidRPr="00C56C2D">
        <w:t>Children’s right</w:t>
      </w:r>
      <w:r w:rsidR="002B27FA" w:rsidRPr="00C56C2D">
        <w:t>s</w:t>
      </w:r>
      <w:r w:rsidRPr="00C56C2D">
        <w:t xml:space="preserve"> to be heard will be respected and facilitated</w:t>
      </w:r>
      <w:r>
        <w:t>.</w:t>
      </w:r>
    </w:p>
    <w:p w14:paraId="0E16C71B" w14:textId="77777777" w:rsidR="003B0BEC" w:rsidRPr="003B0BEC" w:rsidRDefault="003B0BEC" w:rsidP="00C56C2D">
      <w:pPr>
        <w:pStyle w:val="SubmissionNormal"/>
        <w:numPr>
          <w:ilvl w:val="1"/>
          <w:numId w:val="15"/>
        </w:numPr>
        <w:spacing w:before="120" w:after="120"/>
        <w:ind w:left="1434" w:hanging="357"/>
      </w:pPr>
      <w:r w:rsidRPr="00C56C2D">
        <w:t>Children’s consent will be sought.</w:t>
      </w:r>
    </w:p>
    <w:p w14:paraId="1AE10917" w14:textId="77777777" w:rsidR="003B0BEC" w:rsidRPr="003B0BEC" w:rsidRDefault="003B0BEC" w:rsidP="00C56C2D">
      <w:pPr>
        <w:pStyle w:val="SubmissionNormal"/>
        <w:numPr>
          <w:ilvl w:val="1"/>
          <w:numId w:val="15"/>
        </w:numPr>
        <w:spacing w:before="120" w:after="120"/>
        <w:ind w:left="1434" w:hanging="357"/>
      </w:pPr>
      <w:r w:rsidRPr="00C56C2D">
        <w:t xml:space="preserve">There will be a presumption for open adoption. </w:t>
      </w:r>
    </w:p>
    <w:p w14:paraId="78957CFE" w14:textId="656742D9" w:rsidR="003B0BEC" w:rsidRPr="003B0BEC" w:rsidRDefault="003B0BEC" w:rsidP="00C56C2D">
      <w:pPr>
        <w:pStyle w:val="SubmissionNormal"/>
        <w:numPr>
          <w:ilvl w:val="1"/>
          <w:numId w:val="15"/>
        </w:numPr>
        <w:spacing w:before="120" w:after="120"/>
        <w:ind w:left="1434" w:hanging="357"/>
      </w:pPr>
      <w:r w:rsidRPr="00787257">
        <w:t>All parties will have access to ongoing support services</w:t>
      </w:r>
      <w:r>
        <w:t>.</w:t>
      </w:r>
    </w:p>
    <w:p w14:paraId="292C08F5" w14:textId="3C94DC91" w:rsidR="003B0BEC" w:rsidRPr="003B0BEC" w:rsidRDefault="00BB25D7" w:rsidP="00C56C2D">
      <w:pPr>
        <w:pStyle w:val="SubmissionNormal"/>
        <w:numPr>
          <w:ilvl w:val="0"/>
          <w:numId w:val="0"/>
        </w:numPr>
        <w:ind w:left="720"/>
      </w:pPr>
      <w:r w:rsidRPr="003B0BEC">
        <w:rPr>
          <w:b/>
          <w:lang w:val="en"/>
        </w:rPr>
        <w:t>Recommendation 3</w:t>
      </w:r>
      <w:r w:rsidRPr="003B0BEC">
        <w:rPr>
          <w:lang w:val="en"/>
        </w:rPr>
        <w:t>: The national framework should be developed in close consultation with Aboriginal and Torres Strait Islander peoples</w:t>
      </w:r>
      <w:r w:rsidR="002B27FA">
        <w:rPr>
          <w:lang w:val="en"/>
        </w:rPr>
        <w:t>,</w:t>
      </w:r>
      <w:r w:rsidRPr="003B0BEC">
        <w:rPr>
          <w:lang w:val="en"/>
        </w:rPr>
        <w:t xml:space="preserve"> including specialist Aboriginal and Torres Strait Islander family and child welfare agencies, in a manner consistent with the principle of free, prior and informed consent. </w:t>
      </w:r>
    </w:p>
    <w:p w14:paraId="727070AF" w14:textId="3356EF6D" w:rsidR="00BB25D7" w:rsidRPr="003B0BEC" w:rsidRDefault="00BB25D7" w:rsidP="00C56C2D">
      <w:pPr>
        <w:pStyle w:val="SubmissionNormal"/>
        <w:numPr>
          <w:ilvl w:val="0"/>
          <w:numId w:val="0"/>
        </w:numPr>
        <w:ind w:left="720"/>
      </w:pPr>
      <w:r w:rsidRPr="003B0BEC">
        <w:rPr>
          <w:b/>
          <w:lang w:val="en"/>
        </w:rPr>
        <w:t>Recommendation 4</w:t>
      </w:r>
      <w:r w:rsidRPr="003B0BEC">
        <w:rPr>
          <w:lang w:val="en"/>
        </w:rPr>
        <w:t>: The national framework should particularly recognise the specific vulnerability of Aboriginal and Torres Strait Islander children, given their over-representation in the care and protection system and the history of forced removal of children. Accordingly, the national framework should ensure that a human rights based approach is applied to Indigenous child welfare, including adoption, and that any approach is consistent with the United Nations Declaration on the Rights of Indigenous Peoples, in particular the principle of free, prior and informed consent, the right to culture and the right to self-determination.</w:t>
      </w:r>
    </w:p>
    <w:p w14:paraId="19221FF4" w14:textId="52995099" w:rsidR="00BB25D7" w:rsidRDefault="009026BA" w:rsidP="00EB1DD5">
      <w:pPr>
        <w:pStyle w:val="Heading1"/>
        <w:numPr>
          <w:ilvl w:val="0"/>
          <w:numId w:val="16"/>
        </w:numPr>
      </w:pPr>
      <w:bookmarkStart w:id="16" w:name="_Toc516142231"/>
      <w:r>
        <w:t>International human rights framework</w:t>
      </w:r>
      <w:bookmarkEnd w:id="16"/>
    </w:p>
    <w:p w14:paraId="12017F39" w14:textId="7BFAD24B" w:rsidR="00F979F6" w:rsidRDefault="00987E69" w:rsidP="00EB1DD5">
      <w:pPr>
        <w:pStyle w:val="SubmissionNormal"/>
        <w:tabs>
          <w:tab w:val="clear" w:pos="786"/>
        </w:tabs>
        <w:ind w:left="720" w:hanging="720"/>
      </w:pPr>
      <w:r w:rsidRPr="00F31835">
        <w:t xml:space="preserve">The </w:t>
      </w:r>
      <w:r w:rsidRPr="00EB1DD5">
        <w:rPr>
          <w:i/>
        </w:rPr>
        <w:t xml:space="preserve">Convention on the Rights of the Child </w:t>
      </w:r>
      <w:r w:rsidRPr="00987E69">
        <w:t xml:space="preserve">(CRC) is the major international treaty setting out the human rights of </w:t>
      </w:r>
      <w:r w:rsidR="009106F9">
        <w:t xml:space="preserve">all </w:t>
      </w:r>
      <w:r w:rsidRPr="00987E69">
        <w:t>children.</w:t>
      </w:r>
      <w:r w:rsidR="00EA7CF9">
        <w:rPr>
          <w:rStyle w:val="EndnoteReference"/>
        </w:rPr>
        <w:endnoteReference w:id="5"/>
      </w:r>
      <w:r>
        <w:t xml:space="preserve"> </w:t>
      </w:r>
      <w:r w:rsidR="00C22B88">
        <w:t xml:space="preserve">The </w:t>
      </w:r>
      <w:r w:rsidR="00B51337">
        <w:t>CRC</w:t>
      </w:r>
      <w:r w:rsidR="008A7020">
        <w:t xml:space="preserve">, which Australia </w:t>
      </w:r>
      <w:r w:rsidR="00F979F6">
        <w:t xml:space="preserve">is a party to, </w:t>
      </w:r>
      <w:r w:rsidR="001C2B58">
        <w:t>includes</w:t>
      </w:r>
      <w:r w:rsidR="00C22B88">
        <w:t xml:space="preserve"> a number of articles </w:t>
      </w:r>
      <w:r w:rsidR="00C77401">
        <w:t>relevant</w:t>
      </w:r>
      <w:r w:rsidR="00AF5DE1">
        <w:t xml:space="preserve"> to</w:t>
      </w:r>
      <w:r w:rsidR="00C77401">
        <w:t xml:space="preserve"> </w:t>
      </w:r>
      <w:r w:rsidR="00C22B88">
        <w:t>adoption</w:t>
      </w:r>
      <w:r w:rsidR="00AF5DE1">
        <w:t>s within Australia</w:t>
      </w:r>
      <w:r w:rsidR="00C22B88">
        <w:t xml:space="preserve">. </w:t>
      </w:r>
    </w:p>
    <w:p w14:paraId="6F244E72" w14:textId="40BDAA7B" w:rsidR="00C51368" w:rsidRDefault="00C51368" w:rsidP="00EB1DD5">
      <w:pPr>
        <w:pStyle w:val="SubmissionNormal"/>
        <w:tabs>
          <w:tab w:val="clear" w:pos="786"/>
        </w:tabs>
        <w:ind w:left="720" w:hanging="720"/>
      </w:pPr>
      <w:r>
        <w:t xml:space="preserve">Under article 2, the rights recognised in the CRC are to be ensured for all children without discrimination of any kind, irrespective of the </w:t>
      </w:r>
      <w:r>
        <w:lastRenderedPageBreak/>
        <w:t xml:space="preserve">child’s or </w:t>
      </w:r>
      <w:r w:rsidR="00B60B7D">
        <w:t xml:space="preserve">their </w:t>
      </w:r>
      <w:r>
        <w:t>parent’s or legal guardian’s race, colour, sex, language, religion, political or other opinion, national, ethnic or social origin, property, disability, birth or other status.</w:t>
      </w:r>
      <w:r w:rsidR="00D67D59">
        <w:rPr>
          <w:rStyle w:val="EndnoteReference"/>
        </w:rPr>
        <w:endnoteReference w:id="6"/>
      </w:r>
    </w:p>
    <w:p w14:paraId="25ACED39" w14:textId="7F297C92" w:rsidR="00293FE5" w:rsidRDefault="004B6C26" w:rsidP="00EB1DD5">
      <w:pPr>
        <w:pStyle w:val="SubmissionNormal"/>
        <w:tabs>
          <w:tab w:val="clear" w:pos="786"/>
        </w:tabs>
        <w:ind w:left="720" w:hanging="720"/>
      </w:pPr>
      <w:r>
        <w:t xml:space="preserve">Article 3 </w:t>
      </w:r>
      <w:r w:rsidR="001C2B58">
        <w:t xml:space="preserve">of the CRC </w:t>
      </w:r>
      <w:r w:rsidR="00CE7A8C">
        <w:t>requires</w:t>
      </w:r>
      <w:r>
        <w:t xml:space="preserve"> that the b</w:t>
      </w:r>
      <w:r w:rsidR="00CE7A8C">
        <w:t xml:space="preserve">est interests of the child </w:t>
      </w:r>
      <w:r>
        <w:t>be a primary consideration in all actions concerning them.</w:t>
      </w:r>
      <w:r w:rsidR="00C61634">
        <w:rPr>
          <w:rStyle w:val="EndnoteReference"/>
        </w:rPr>
        <w:endnoteReference w:id="7"/>
      </w:r>
      <w:r w:rsidR="00751770">
        <w:t xml:space="preserve"> </w:t>
      </w:r>
      <w:r>
        <w:t xml:space="preserve">In respect of adoption, </w:t>
      </w:r>
      <w:r w:rsidR="0014142D">
        <w:t xml:space="preserve">the best interests of the child </w:t>
      </w:r>
      <w:r w:rsidR="005A26CE">
        <w:t>are</w:t>
      </w:r>
      <w:r w:rsidR="008B0AB2">
        <w:t xml:space="preserve"> not</w:t>
      </w:r>
      <w:r w:rsidR="005A26CE">
        <w:t xml:space="preserve"> </w:t>
      </w:r>
      <w:r w:rsidR="00EF5B80">
        <w:t xml:space="preserve">simply </w:t>
      </w:r>
      <w:r w:rsidR="005A26CE">
        <w:t xml:space="preserve">to be </w:t>
      </w:r>
      <w:r w:rsidRPr="00EB1DD5">
        <w:rPr>
          <w:bCs/>
          <w:i/>
        </w:rPr>
        <w:t>a primary</w:t>
      </w:r>
      <w:r w:rsidRPr="00EB1DD5">
        <w:rPr>
          <w:b/>
          <w:bCs/>
          <w:i/>
        </w:rPr>
        <w:t xml:space="preserve"> </w:t>
      </w:r>
      <w:r w:rsidRPr="00EB1DD5">
        <w:rPr>
          <w:i/>
        </w:rPr>
        <w:t>co</w:t>
      </w:r>
      <w:r w:rsidR="005A26CE" w:rsidRPr="00EB1DD5">
        <w:rPr>
          <w:i/>
        </w:rPr>
        <w:t>nsideration</w:t>
      </w:r>
      <w:r w:rsidR="0014142D">
        <w:t>,</w:t>
      </w:r>
      <w:r w:rsidR="005A26CE">
        <w:t xml:space="preserve"> </w:t>
      </w:r>
      <w:r w:rsidR="005A26CE" w:rsidRPr="00D57A5B">
        <w:t>but</w:t>
      </w:r>
      <w:r w:rsidR="005A26CE" w:rsidRPr="00EB1DD5">
        <w:rPr>
          <w:b/>
          <w:i/>
        </w:rPr>
        <w:t xml:space="preserve"> </w:t>
      </w:r>
      <w:r w:rsidRPr="00EB1DD5">
        <w:rPr>
          <w:b/>
          <w:bCs/>
          <w:i/>
        </w:rPr>
        <w:t xml:space="preserve">the paramount </w:t>
      </w:r>
      <w:r w:rsidRPr="00EB1DD5">
        <w:rPr>
          <w:b/>
          <w:i/>
        </w:rPr>
        <w:t>consideration</w:t>
      </w:r>
      <w:r w:rsidR="0014142D">
        <w:t>, according to article 21</w:t>
      </w:r>
      <w:r w:rsidR="00BE1FFF">
        <w:t>.</w:t>
      </w:r>
      <w:r w:rsidR="00EA0043">
        <w:rPr>
          <w:rStyle w:val="EndnoteReference"/>
        </w:rPr>
        <w:endnoteReference w:id="8"/>
      </w:r>
      <w:r>
        <w:t xml:space="preserve"> This means that the</w:t>
      </w:r>
      <w:r w:rsidRPr="00422DA0">
        <w:t xml:space="preserve"> best interests of the child are to be the determining f</w:t>
      </w:r>
      <w:r w:rsidR="00BD7CC3">
        <w:t>actor when m</w:t>
      </w:r>
      <w:r w:rsidRPr="00422DA0">
        <w:t>aking a decision on</w:t>
      </w:r>
      <w:r>
        <w:t xml:space="preserve"> adoption.</w:t>
      </w:r>
      <w:r>
        <w:rPr>
          <w:rStyle w:val="EndnoteReference"/>
        </w:rPr>
        <w:endnoteReference w:id="9"/>
      </w:r>
      <w:r w:rsidRPr="00422DA0">
        <w:t xml:space="preserve"> </w:t>
      </w:r>
    </w:p>
    <w:p w14:paraId="1F0F326C" w14:textId="25038550" w:rsidR="00D85646" w:rsidRDefault="004E0ED8" w:rsidP="003C62EB">
      <w:pPr>
        <w:pStyle w:val="SubmissionNormal"/>
        <w:tabs>
          <w:tab w:val="clear" w:pos="786"/>
        </w:tabs>
        <w:spacing w:after="120"/>
        <w:ind w:left="720" w:hanging="720"/>
      </w:pPr>
      <w:r w:rsidRPr="00EB1DD5">
        <w:rPr>
          <w:lang w:val="en"/>
        </w:rPr>
        <w:t>The United Nations</w:t>
      </w:r>
      <w:r w:rsidR="00092FD8" w:rsidRPr="00EB1DD5">
        <w:rPr>
          <w:lang w:val="en"/>
        </w:rPr>
        <w:t xml:space="preserve"> (UN)</w:t>
      </w:r>
      <w:r w:rsidRPr="00EB1DD5">
        <w:rPr>
          <w:lang w:val="en"/>
        </w:rPr>
        <w:t xml:space="preserve"> Committee on the Rights of the </w:t>
      </w:r>
      <w:r w:rsidRPr="004E0ED8">
        <w:t>Child has provided guidance on how to assess and determin</w:t>
      </w:r>
      <w:r w:rsidR="00933240">
        <w:t xml:space="preserve">e a child’s best interests in </w:t>
      </w:r>
      <w:r w:rsidRPr="004E0ED8">
        <w:t>specific situation</w:t>
      </w:r>
      <w:r w:rsidR="00933240">
        <w:t>s</w:t>
      </w:r>
      <w:r w:rsidRPr="004E0ED8">
        <w:t xml:space="preserve">, </w:t>
      </w:r>
      <w:r w:rsidR="00CE7A8C">
        <w:t xml:space="preserve">which would include </w:t>
      </w:r>
      <w:r>
        <w:t>adoption proceedings.</w:t>
      </w:r>
      <w:r>
        <w:rPr>
          <w:rStyle w:val="EndnoteReference"/>
          <w:rFonts w:cs="Arial"/>
        </w:rPr>
        <w:endnoteReference w:id="10"/>
      </w:r>
      <w:r w:rsidR="00EC1F6A">
        <w:t xml:space="preserve"> </w:t>
      </w:r>
      <w:r w:rsidR="00962A09" w:rsidRPr="00CE7A8C">
        <w:t xml:space="preserve">According to the </w:t>
      </w:r>
      <w:r w:rsidRPr="00CE7A8C">
        <w:t>Committee</w:t>
      </w:r>
      <w:r w:rsidR="00EC1F6A">
        <w:t>:</w:t>
      </w:r>
    </w:p>
    <w:p w14:paraId="4EE0BC00" w14:textId="77777777" w:rsidR="00EC1F6A" w:rsidRDefault="00EC1F6A" w:rsidP="00A17B24">
      <w:pPr>
        <w:pStyle w:val="SubmissionNormal"/>
        <w:numPr>
          <w:ilvl w:val="1"/>
          <w:numId w:val="15"/>
        </w:numPr>
        <w:spacing w:before="120" w:after="120"/>
        <w:ind w:left="1434" w:hanging="357"/>
      </w:pPr>
      <w:r>
        <w:t>A</w:t>
      </w:r>
      <w:r w:rsidR="004E0ED8" w:rsidRPr="00CE7A8C">
        <w:t>ssessing a child’s best</w:t>
      </w:r>
      <w:r w:rsidR="00962A09" w:rsidRPr="00CE7A8C">
        <w:t xml:space="preserve"> interests is a </w:t>
      </w:r>
      <w:r w:rsidR="00CE7A8C">
        <w:t>‘</w:t>
      </w:r>
      <w:r w:rsidR="00962A09" w:rsidRPr="00CE7A8C">
        <w:t xml:space="preserve">unique activity </w:t>
      </w:r>
      <w:r w:rsidR="004E0ED8" w:rsidRPr="00CE7A8C">
        <w:t>that should be undertaken in each individual case, in light of the specific circumstances of each child or group of children or children in general</w:t>
      </w:r>
      <w:r w:rsidR="00CE7A8C">
        <w:t>’</w:t>
      </w:r>
      <w:r w:rsidR="004E0ED8" w:rsidRPr="00CE7A8C">
        <w:t>.</w:t>
      </w:r>
      <w:r>
        <w:rPr>
          <w:rStyle w:val="EndnoteReference"/>
        </w:rPr>
        <w:endnoteReference w:id="11"/>
      </w:r>
    </w:p>
    <w:p w14:paraId="145AD68A" w14:textId="0AB51730" w:rsidR="00EC1F6A" w:rsidRDefault="00EC1F6A" w:rsidP="00A17B24">
      <w:pPr>
        <w:pStyle w:val="SubmissionNormal"/>
        <w:numPr>
          <w:ilvl w:val="1"/>
          <w:numId w:val="15"/>
        </w:numPr>
        <w:spacing w:before="120" w:after="120"/>
        <w:ind w:left="1434" w:hanging="357"/>
      </w:pPr>
      <w:r>
        <w:t>I</w:t>
      </w:r>
      <w:r w:rsidR="004E0ED8" w:rsidRPr="00CE7A8C">
        <w:t xml:space="preserve">t is </w:t>
      </w:r>
      <w:r>
        <w:t>‘</w:t>
      </w:r>
      <w:r w:rsidR="004E0ED8" w:rsidRPr="00CE7A8C">
        <w:t xml:space="preserve">useful to draw up a non-exhaustive and non-hierarchical list of elements that could be included </w:t>
      </w:r>
      <w:r w:rsidR="00540761">
        <w:t xml:space="preserve">in a best-interests assessment </w:t>
      </w:r>
      <w:r w:rsidR="004E0ED8" w:rsidRPr="00CE7A8C">
        <w:t>by any decision-maker</w:t>
      </w:r>
      <w:r w:rsidR="00540761">
        <w:t xml:space="preserve"> having to determine a child’s best interests’</w:t>
      </w:r>
      <w:r w:rsidR="004E0ED8" w:rsidRPr="00CE7A8C">
        <w:t>. All elements of the list must be taken into consideration and balanced in light of each situation.</w:t>
      </w:r>
      <w:r w:rsidR="00540761">
        <w:t xml:space="preserve"> The list should provide ‘concrete guidance, yet flexibility’.</w:t>
      </w:r>
      <w:r>
        <w:rPr>
          <w:rStyle w:val="EndnoteReference"/>
        </w:rPr>
        <w:endnoteReference w:id="12"/>
      </w:r>
    </w:p>
    <w:p w14:paraId="35A887D4" w14:textId="55DDE1A3" w:rsidR="004E0ED8" w:rsidRPr="00AF2758" w:rsidRDefault="004E0ED8" w:rsidP="00A17B24">
      <w:pPr>
        <w:pStyle w:val="SubmissionNormal"/>
        <w:numPr>
          <w:ilvl w:val="1"/>
          <w:numId w:val="15"/>
        </w:numPr>
        <w:spacing w:before="120" w:after="120"/>
        <w:ind w:left="1434" w:hanging="357"/>
      </w:pPr>
      <w:r w:rsidRPr="004C411F">
        <w:t xml:space="preserve">The elements may be in conflict when considering a specific case and its circumstances. For example, preservation of the family environment may conflict with the need to protect the child from the risk of violence or abuse by parents. In such situations, the elements </w:t>
      </w:r>
      <w:r w:rsidR="00177BFD">
        <w:t xml:space="preserve">should </w:t>
      </w:r>
      <w:r w:rsidR="00AF5DE1">
        <w:t>be weigh</w:t>
      </w:r>
      <w:r w:rsidRPr="004C411F">
        <w:t>ed against each other in order to find the solution that is in the best in</w:t>
      </w:r>
      <w:r w:rsidR="00AF5DE1">
        <w:t>terests of the child</w:t>
      </w:r>
      <w:r w:rsidRPr="004C411F">
        <w:t>.</w:t>
      </w:r>
      <w:r w:rsidR="00BF622E" w:rsidRPr="004C411F">
        <w:rPr>
          <w:rStyle w:val="EndnoteReference"/>
        </w:rPr>
        <w:endnoteReference w:id="13"/>
      </w:r>
      <w:r w:rsidR="00BF622E" w:rsidRPr="004C411F">
        <w:rPr>
          <w:rFonts w:cs="Arial"/>
        </w:rPr>
        <w:t xml:space="preserve">  </w:t>
      </w:r>
    </w:p>
    <w:p w14:paraId="634DD8FC" w14:textId="0694D9D7" w:rsidR="00AF2758" w:rsidRPr="00123006" w:rsidRDefault="00AF2758" w:rsidP="00A17B24">
      <w:pPr>
        <w:pStyle w:val="SubmissionNormal"/>
        <w:numPr>
          <w:ilvl w:val="1"/>
          <w:numId w:val="15"/>
        </w:numPr>
        <w:spacing w:before="120" w:after="120"/>
        <w:ind w:left="1434" w:hanging="357"/>
      </w:pPr>
      <w:r>
        <w:t>In weighing</w:t>
      </w:r>
      <w:r w:rsidR="00D61715">
        <w:t xml:space="preserve"> the</w:t>
      </w:r>
      <w:r w:rsidRPr="004C411F">
        <w:t xml:space="preserve"> various elements, ‘one needs to bear in mind that the purpose of assessing and determining the best interests of the child is to ensure the full and effective </w:t>
      </w:r>
      <w:r w:rsidR="00D61715">
        <w:t>enjoyment of the rights recogniz</w:t>
      </w:r>
      <w:r w:rsidRPr="004C411F">
        <w:t>ed in the Convention and its Optional Protocols, and the holistic development of the child’.</w:t>
      </w:r>
      <w:r w:rsidRPr="004C411F">
        <w:rPr>
          <w:rStyle w:val="EndnoteReference"/>
        </w:rPr>
        <w:endnoteReference w:id="14"/>
      </w:r>
    </w:p>
    <w:p w14:paraId="4F2CB906" w14:textId="452B7602" w:rsidR="005C75A9" w:rsidRDefault="005B0316" w:rsidP="00A17B24">
      <w:pPr>
        <w:pStyle w:val="SubmissionNormal"/>
        <w:numPr>
          <w:ilvl w:val="1"/>
          <w:numId w:val="15"/>
        </w:numPr>
        <w:spacing w:before="120" w:after="120"/>
        <w:ind w:left="1434" w:hanging="357"/>
      </w:pPr>
      <w:r>
        <w:t>T</w:t>
      </w:r>
      <w:r w:rsidR="00123006">
        <w:t>he r</w:t>
      </w:r>
      <w:r w:rsidR="00123006" w:rsidRPr="00F82AD5">
        <w:t xml:space="preserve">ight of the child to preserve </w:t>
      </w:r>
      <w:r w:rsidR="00E124C5">
        <w:t xml:space="preserve">their </w:t>
      </w:r>
      <w:r w:rsidR="00123006">
        <w:t xml:space="preserve">cultural </w:t>
      </w:r>
      <w:r w:rsidR="00123006" w:rsidRPr="00F82AD5">
        <w:t>identity</w:t>
      </w:r>
      <w:r w:rsidR="00123006">
        <w:t xml:space="preserve"> must be taken into consideration when determining the</w:t>
      </w:r>
      <w:r w:rsidR="00472E36">
        <w:t>ir</w:t>
      </w:r>
      <w:r w:rsidR="00123006">
        <w:t xml:space="preserve"> best interests.</w:t>
      </w:r>
      <w:r w:rsidR="00123006">
        <w:rPr>
          <w:rStyle w:val="EndnoteReference"/>
        </w:rPr>
        <w:endnoteReference w:id="15"/>
      </w:r>
      <w:r w:rsidR="00123006">
        <w:t xml:space="preserve"> There may also be a distinction </w:t>
      </w:r>
      <w:r w:rsidR="002720A1">
        <w:t>‘</w:t>
      </w:r>
      <w:r w:rsidR="00123006" w:rsidRPr="00B55020">
        <w:t>between the best interests of the individual child, and the best interests of children as a group</w:t>
      </w:r>
      <w:r w:rsidR="002720A1">
        <w:t>’</w:t>
      </w:r>
      <w:r w:rsidR="00123006">
        <w:t>.</w:t>
      </w:r>
      <w:r w:rsidR="00123006">
        <w:rPr>
          <w:rStyle w:val="EndnoteReference"/>
        </w:rPr>
        <w:endnoteReference w:id="16"/>
      </w:r>
      <w:r w:rsidR="00123006">
        <w:t xml:space="preserve"> </w:t>
      </w:r>
    </w:p>
    <w:p w14:paraId="43CDFE8E" w14:textId="1F49EB1E" w:rsidR="00271500" w:rsidRDefault="00017904" w:rsidP="007F05C4">
      <w:pPr>
        <w:pStyle w:val="SubmissionNormal"/>
        <w:tabs>
          <w:tab w:val="clear" w:pos="786"/>
        </w:tabs>
        <w:ind w:left="720" w:hanging="720"/>
      </w:pPr>
      <w:r>
        <w:t xml:space="preserve">Assessment of a child’s best interests must include respect for the child’s right to </w:t>
      </w:r>
      <w:r w:rsidR="00CE46E6">
        <w:t>be heard</w:t>
      </w:r>
      <w:r w:rsidR="00753DEE">
        <w:t xml:space="preserve"> </w:t>
      </w:r>
      <w:r w:rsidR="004113D6">
        <w:t xml:space="preserve">– that is, </w:t>
      </w:r>
      <w:r w:rsidR="00CE46E6">
        <w:t xml:space="preserve">the child’s right to </w:t>
      </w:r>
      <w:r>
        <w:t xml:space="preserve">express their views freely and to have their views given due weight in </w:t>
      </w:r>
      <w:r w:rsidR="0014142D">
        <w:t xml:space="preserve">accordance with their age and maturity, in </w:t>
      </w:r>
      <w:r>
        <w:t>all matters affecting them</w:t>
      </w:r>
      <w:r w:rsidR="00CD2BD1">
        <w:t>.</w:t>
      </w:r>
      <w:r w:rsidR="00CE46E6">
        <w:rPr>
          <w:rStyle w:val="EndnoteReference"/>
        </w:rPr>
        <w:endnoteReference w:id="17"/>
      </w:r>
      <w:r w:rsidR="00C43E4E">
        <w:t xml:space="preserve"> </w:t>
      </w:r>
      <w:r w:rsidR="00B30453">
        <w:t>This applies to judicial and administ</w:t>
      </w:r>
      <w:r w:rsidR="006711D5">
        <w:t>rative proceedings affecting a</w:t>
      </w:r>
      <w:r w:rsidR="00B30453">
        <w:t xml:space="preserve"> chi</w:t>
      </w:r>
      <w:r w:rsidR="00E9532A">
        <w:t xml:space="preserve">ld, including </w:t>
      </w:r>
      <w:r w:rsidR="00B1576B">
        <w:t xml:space="preserve">those relating to </w:t>
      </w:r>
      <w:r w:rsidR="003A08FD">
        <w:t xml:space="preserve">custody, </w:t>
      </w:r>
      <w:r w:rsidR="00E9532A">
        <w:t>care and adoption.</w:t>
      </w:r>
      <w:r w:rsidR="00B30453">
        <w:rPr>
          <w:rStyle w:val="EndnoteReference"/>
        </w:rPr>
        <w:endnoteReference w:id="18"/>
      </w:r>
      <w:r w:rsidR="00B30453">
        <w:t xml:space="preserve"> </w:t>
      </w:r>
      <w:r w:rsidR="00C43E4E" w:rsidRPr="00422DA0">
        <w:t xml:space="preserve">The fact that </w:t>
      </w:r>
      <w:r w:rsidR="00C43E4E">
        <w:t>a</w:t>
      </w:r>
      <w:r w:rsidR="00C43E4E" w:rsidRPr="00422DA0">
        <w:t xml:space="preserve"> child is very young or in a vulnerable situation does not deprive </w:t>
      </w:r>
      <w:r w:rsidR="00C43E4E">
        <w:t>them</w:t>
      </w:r>
      <w:r w:rsidR="00C43E4E" w:rsidRPr="00422DA0">
        <w:t xml:space="preserve"> of </w:t>
      </w:r>
      <w:r w:rsidR="00C43E4E">
        <w:t>their right to be heard</w:t>
      </w:r>
      <w:r w:rsidR="00C43E4E" w:rsidRPr="00422DA0">
        <w:t>.</w:t>
      </w:r>
      <w:r w:rsidR="008A7020">
        <w:rPr>
          <w:rStyle w:val="EndnoteReference"/>
        </w:rPr>
        <w:endnoteReference w:id="19"/>
      </w:r>
      <w:r w:rsidR="00C43E4E">
        <w:t xml:space="preserve"> </w:t>
      </w:r>
    </w:p>
    <w:p w14:paraId="05ADF8CA" w14:textId="1974132B" w:rsidR="00C51368" w:rsidRDefault="00751770" w:rsidP="00C44691">
      <w:pPr>
        <w:pStyle w:val="SubmissionNormal"/>
        <w:tabs>
          <w:tab w:val="clear" w:pos="786"/>
        </w:tabs>
        <w:ind w:left="720" w:hanging="720"/>
      </w:pPr>
      <w:r w:rsidRPr="00271500">
        <w:lastRenderedPageBreak/>
        <w:t>Arti</w:t>
      </w:r>
      <w:r w:rsidR="00577BB6">
        <w:t>cle 8</w:t>
      </w:r>
      <w:r w:rsidRPr="00271500">
        <w:t xml:space="preserve"> </w:t>
      </w:r>
      <w:r>
        <w:t xml:space="preserve">of the CRC </w:t>
      </w:r>
      <w:r w:rsidRPr="00271500">
        <w:t xml:space="preserve">requires </w:t>
      </w:r>
      <w:r>
        <w:t>state parties</w:t>
      </w:r>
      <w:r w:rsidRPr="00271500">
        <w:t xml:space="preserve"> to respect the right of the child to preserve their identity, including family relations</w:t>
      </w:r>
      <w:r w:rsidR="00577BB6">
        <w:t xml:space="preserve">, </w:t>
      </w:r>
      <w:r w:rsidRPr="00271500">
        <w:t>without unlawful interference.</w:t>
      </w:r>
      <w:r w:rsidR="008C2571">
        <w:rPr>
          <w:rStyle w:val="EndnoteReference"/>
        </w:rPr>
        <w:endnoteReference w:id="20"/>
      </w:r>
      <w:r w:rsidRPr="00271500">
        <w:t xml:space="preserve"> </w:t>
      </w:r>
      <w:r w:rsidR="00A23BF4">
        <w:t>This right must be respected and taken into consideration when assessing the child’s best interests.</w:t>
      </w:r>
      <w:r w:rsidR="00A23BF4">
        <w:rPr>
          <w:rStyle w:val="EndnoteReference"/>
        </w:rPr>
        <w:endnoteReference w:id="21"/>
      </w:r>
      <w:r w:rsidR="00A23BF4">
        <w:t xml:space="preserve"> </w:t>
      </w:r>
      <w:r w:rsidR="00092FD8">
        <w:t xml:space="preserve">The UN </w:t>
      </w:r>
      <w:r w:rsidR="00092FD8" w:rsidRPr="00C44691">
        <w:rPr>
          <w:rFonts w:cs="Arial"/>
          <w:lang w:val="en"/>
        </w:rPr>
        <w:t xml:space="preserve">Committee on the Rights of the </w:t>
      </w:r>
      <w:r w:rsidR="00092FD8" w:rsidRPr="00C44691">
        <w:rPr>
          <w:rFonts w:cs="Arial"/>
        </w:rPr>
        <w:t xml:space="preserve">Child has indicated that </w:t>
      </w:r>
      <w:r w:rsidR="00092FD8">
        <w:t>t</w:t>
      </w:r>
      <w:r w:rsidR="00092FD8" w:rsidRPr="00271818">
        <w:t>he</w:t>
      </w:r>
      <w:r w:rsidR="00AD70AD">
        <w:t xml:space="preserve"> identity of a</w:t>
      </w:r>
      <w:r w:rsidR="00092FD8" w:rsidRPr="00271818">
        <w:t xml:space="preserve"> child includes characteristics</w:t>
      </w:r>
      <w:r w:rsidR="00092FD8">
        <w:t xml:space="preserve"> </w:t>
      </w:r>
      <w:r w:rsidR="00092FD8" w:rsidRPr="00271818">
        <w:t xml:space="preserve">such as </w:t>
      </w:r>
      <w:r w:rsidR="00AD70AD">
        <w:t xml:space="preserve">their </w:t>
      </w:r>
      <w:r w:rsidR="00092FD8" w:rsidRPr="00271818">
        <w:t>sex, sexual orientation, national origin, religion and beliefs</w:t>
      </w:r>
      <w:r w:rsidR="00092FD8">
        <w:t xml:space="preserve">, cultural identity and </w:t>
      </w:r>
      <w:r w:rsidR="00092FD8" w:rsidRPr="00271818">
        <w:t>pers</w:t>
      </w:r>
      <w:r w:rsidR="00A23BF4">
        <w:t>onality</w:t>
      </w:r>
      <w:r w:rsidR="00983F6F">
        <w:t>.</w:t>
      </w:r>
      <w:r w:rsidR="001360C4">
        <w:rPr>
          <w:rStyle w:val="EndnoteReference"/>
        </w:rPr>
        <w:endnoteReference w:id="22"/>
      </w:r>
      <w:r w:rsidR="00C51368">
        <w:t xml:space="preserve"> </w:t>
      </w:r>
    </w:p>
    <w:p w14:paraId="700CD55A" w14:textId="23C23E04" w:rsidR="00751770" w:rsidRDefault="00751770" w:rsidP="00C44691">
      <w:pPr>
        <w:pStyle w:val="SubmissionNormal"/>
        <w:tabs>
          <w:tab w:val="clear" w:pos="786"/>
        </w:tabs>
        <w:ind w:left="720" w:hanging="720"/>
      </w:pPr>
      <w:r>
        <w:t xml:space="preserve">Article 9(1) </w:t>
      </w:r>
      <w:r w:rsidR="00C85282">
        <w:t xml:space="preserve">of the CRC </w:t>
      </w:r>
      <w:r>
        <w:t xml:space="preserve">provides that a child </w:t>
      </w:r>
      <w:r w:rsidR="00C85282">
        <w:t xml:space="preserve">should </w:t>
      </w:r>
      <w:r>
        <w:t xml:space="preserve">not be separated from their parents against their will, except when </w:t>
      </w:r>
      <w:r w:rsidR="00C85282">
        <w:t>competent authorities subject to judicial review determine, in accordance with applicable law and procedures, that such separation is necessary for the best interests of the child.</w:t>
      </w:r>
      <w:r w:rsidR="0053191D">
        <w:rPr>
          <w:rStyle w:val="EndnoteReference"/>
        </w:rPr>
        <w:endnoteReference w:id="23"/>
      </w:r>
      <w:r w:rsidR="00C85282">
        <w:t xml:space="preserve"> Under </w:t>
      </w:r>
      <w:r w:rsidR="00E124C5">
        <w:t>article </w:t>
      </w:r>
      <w:r w:rsidR="00C85282">
        <w:t>9(2), in any proceedings pursuant to article 9(1), all interested parties are to be given an opportunity to participate and to make their views known.</w:t>
      </w:r>
      <w:r w:rsidR="001D121F">
        <w:rPr>
          <w:rStyle w:val="EndnoteReference"/>
        </w:rPr>
        <w:endnoteReference w:id="24"/>
      </w:r>
      <w:r w:rsidR="00C85282">
        <w:t xml:space="preserve"> Article 9(3) requires that state parties respect the right of a</w:t>
      </w:r>
      <w:r w:rsidRPr="00976143">
        <w:t xml:space="preserve"> child who is separated from one or both parents to maintain personal relations and direct contact with both parents on a regular basis, except if it is contrary to the child's best interests.</w:t>
      </w:r>
      <w:r w:rsidR="001D121F">
        <w:rPr>
          <w:rStyle w:val="EndnoteReference"/>
        </w:rPr>
        <w:endnoteReference w:id="25"/>
      </w:r>
      <w:r w:rsidRPr="00976143">
        <w:t xml:space="preserve"> </w:t>
      </w:r>
    </w:p>
    <w:p w14:paraId="6F7F2FA9" w14:textId="341852F9" w:rsidR="00AF491B" w:rsidRDefault="00AF491B" w:rsidP="00C44691">
      <w:pPr>
        <w:pStyle w:val="SubmissionNormal"/>
        <w:tabs>
          <w:tab w:val="clear" w:pos="786"/>
        </w:tabs>
        <w:ind w:left="720" w:hanging="720"/>
      </w:pPr>
      <w:r w:rsidRPr="00AF491B">
        <w:t xml:space="preserve">The UN </w:t>
      </w:r>
      <w:r w:rsidRPr="00C44691">
        <w:rPr>
          <w:lang w:val="en"/>
        </w:rPr>
        <w:t xml:space="preserve">Committee on the Rights of the </w:t>
      </w:r>
      <w:r w:rsidRPr="00AF491B">
        <w:t xml:space="preserve">Child </w:t>
      </w:r>
      <w:r w:rsidR="00C44691">
        <w:t>has indicated that, given the gr</w:t>
      </w:r>
      <w:r w:rsidRPr="00AF491B">
        <w:t xml:space="preserve">avity of the impact on the child of separation from </w:t>
      </w:r>
      <w:r w:rsidR="00743084">
        <w:t>their</w:t>
      </w:r>
      <w:r w:rsidRPr="00AF491B">
        <w:t xml:space="preserve"> parents, separation should only occur as a last resort, when the child is in danger of experiencing imminent harm or when otherwise necessary; and that separation should not take place if less intrusive measures could protect the child. Befo</w:t>
      </w:r>
      <w:r w:rsidR="007C3982">
        <w:t xml:space="preserve">re resorting to separation, </w:t>
      </w:r>
      <w:r w:rsidRPr="00AF491B">
        <w:t>state parties should provide support to the parents in assuming their parental responsibilities, and restore or enhance the family’s capacity to take care of the child, unless separation is necessary to protect the child.</w:t>
      </w:r>
      <w:r w:rsidRPr="00AF491B">
        <w:rPr>
          <w:rStyle w:val="EndnoteReference"/>
          <w:rFonts w:cs="Arial"/>
        </w:rPr>
        <w:endnoteReference w:id="26"/>
      </w:r>
      <w:r w:rsidRPr="00AF491B">
        <w:t xml:space="preserve"> </w:t>
      </w:r>
    </w:p>
    <w:p w14:paraId="6D44EEE2" w14:textId="2329BD62" w:rsidR="00650231" w:rsidRDefault="00650231" w:rsidP="00C44691">
      <w:pPr>
        <w:pStyle w:val="SubmissionNormal"/>
        <w:tabs>
          <w:tab w:val="clear" w:pos="786"/>
        </w:tabs>
        <w:ind w:left="720" w:hanging="720"/>
      </w:pPr>
      <w:r w:rsidRPr="00C83D37">
        <w:t xml:space="preserve">Article 19 of the CRC </w:t>
      </w:r>
      <w:r w:rsidR="00D06331" w:rsidRPr="00C83D37">
        <w:t xml:space="preserve">requires state parties to take all appropriate </w:t>
      </w:r>
      <w:r w:rsidR="00C83D37" w:rsidRPr="00C83D37">
        <w:t xml:space="preserve">legislative, administrative, social and educational measures to </w:t>
      </w:r>
      <w:r w:rsidR="00D06331" w:rsidRPr="00C83D37">
        <w:t xml:space="preserve">protect children from all forms of physical or mental violence, injury or abuse, neglect </w:t>
      </w:r>
      <w:r w:rsidR="00C83D37" w:rsidRPr="00C83D37">
        <w:t>or negligent treatment</w:t>
      </w:r>
      <w:r w:rsidR="00D06331" w:rsidRPr="00C83D37">
        <w:t>, maltreatment or exploitation while in the care of parents, legal guardians</w:t>
      </w:r>
      <w:r w:rsidR="00A465DB">
        <w:t xml:space="preserve"> or any other person who has</w:t>
      </w:r>
      <w:r w:rsidR="00D06331" w:rsidRPr="00C83D37">
        <w:t xml:space="preserve"> care of the child</w:t>
      </w:r>
      <w:r w:rsidR="00C83D37" w:rsidRPr="00C83D37">
        <w:t>.</w:t>
      </w:r>
      <w:r w:rsidR="0014226B">
        <w:rPr>
          <w:rStyle w:val="EndnoteReference"/>
        </w:rPr>
        <w:endnoteReference w:id="27"/>
      </w:r>
      <w:r w:rsidR="00286057">
        <w:t xml:space="preserve"> </w:t>
      </w:r>
    </w:p>
    <w:p w14:paraId="3F3EC04A" w14:textId="71E9B2DC" w:rsidR="00587501" w:rsidRDefault="00751770" w:rsidP="00706F6B">
      <w:pPr>
        <w:pStyle w:val="SubmissionNormal"/>
        <w:tabs>
          <w:tab w:val="clear" w:pos="786"/>
        </w:tabs>
        <w:ind w:left="720" w:hanging="720"/>
      </w:pPr>
      <w:r>
        <w:t>Article 20</w:t>
      </w:r>
      <w:r w:rsidR="003C59E5">
        <w:t xml:space="preserve"> of the CRC</w:t>
      </w:r>
      <w:r>
        <w:t xml:space="preserve"> provides that a child temporarily or permanently deprived of their family environment, or in whose own best interests cannot be allowed to remain in that environment, is entitled to special protection </w:t>
      </w:r>
      <w:r w:rsidR="006E41E4">
        <w:t xml:space="preserve">and assistance </w:t>
      </w:r>
      <w:r w:rsidR="000C370E">
        <w:t>provided by the state party</w:t>
      </w:r>
      <w:r w:rsidR="006E41E4">
        <w:t xml:space="preserve">. It </w:t>
      </w:r>
      <w:r w:rsidR="000C370E">
        <w:t xml:space="preserve">requires the state party </w:t>
      </w:r>
      <w:r>
        <w:t>to ensure alternative care for such a child</w:t>
      </w:r>
      <w:r w:rsidR="00AA52F0">
        <w:t>,</w:t>
      </w:r>
      <w:r w:rsidR="006E41E4">
        <w:t xml:space="preserve"> including options such as foster care or adoption.</w:t>
      </w:r>
      <w:r w:rsidR="00AA52F0">
        <w:t xml:space="preserve"> </w:t>
      </w:r>
      <w:r w:rsidR="006E41E4">
        <w:t>When considering option</w:t>
      </w:r>
      <w:r w:rsidRPr="00B44791">
        <w:t xml:space="preserve">s, due regard </w:t>
      </w:r>
      <w:r w:rsidR="00AA52F0">
        <w:t xml:space="preserve">should </w:t>
      </w:r>
      <w:r w:rsidRPr="00B44791">
        <w:t xml:space="preserve">be paid to the desirability of continuity in a </w:t>
      </w:r>
      <w:r w:rsidR="00743084" w:rsidRPr="00B44791">
        <w:t>child</w:t>
      </w:r>
      <w:r w:rsidR="00743084">
        <w:t>’</w:t>
      </w:r>
      <w:r w:rsidR="00743084" w:rsidRPr="00B44791">
        <w:t xml:space="preserve">s </w:t>
      </w:r>
      <w:r w:rsidRPr="00B44791">
        <w:t xml:space="preserve">upbringing and to the </w:t>
      </w:r>
      <w:r w:rsidR="00743084" w:rsidRPr="00B44791">
        <w:t>child</w:t>
      </w:r>
      <w:r w:rsidR="00743084">
        <w:t>’</w:t>
      </w:r>
      <w:r w:rsidR="00743084" w:rsidRPr="00B44791">
        <w:t xml:space="preserve">s </w:t>
      </w:r>
      <w:r w:rsidRPr="00B44791">
        <w:t>ethnic, religious, cultural and linguistic background.</w:t>
      </w:r>
      <w:r w:rsidR="009D5A60">
        <w:rPr>
          <w:rStyle w:val="EndnoteReference"/>
        </w:rPr>
        <w:endnoteReference w:id="28"/>
      </w:r>
      <w:r w:rsidR="00AA52F0">
        <w:t xml:space="preserve"> </w:t>
      </w:r>
    </w:p>
    <w:p w14:paraId="16906AF0" w14:textId="43ED974E" w:rsidR="002868BF" w:rsidRDefault="00BD6354" w:rsidP="00F84D7A">
      <w:pPr>
        <w:pStyle w:val="SubmissionNormal"/>
        <w:tabs>
          <w:tab w:val="clear" w:pos="786"/>
        </w:tabs>
        <w:ind w:left="720" w:hanging="720"/>
      </w:pPr>
      <w:r>
        <w:t xml:space="preserve">The UN </w:t>
      </w:r>
      <w:r w:rsidRPr="00F84D7A">
        <w:rPr>
          <w:lang w:val="en"/>
        </w:rPr>
        <w:t xml:space="preserve">Committee on the Rights of the </w:t>
      </w:r>
      <w:r w:rsidRPr="00536CFA">
        <w:t xml:space="preserve">Child has indicated that decision-makers must take this context into account when assessing a child’s best interests in cases of adoption or separation from parents. </w:t>
      </w:r>
      <w:r>
        <w:t xml:space="preserve">Furthermore, the Committee has stated that </w:t>
      </w:r>
      <w:r w:rsidRPr="00976143">
        <w:t xml:space="preserve">due consideration of the child’s best interests implies that children have </w:t>
      </w:r>
      <w:r w:rsidRPr="00536CFA">
        <w:t xml:space="preserve">access to the culture </w:t>
      </w:r>
      <w:r w:rsidRPr="00536CFA">
        <w:lastRenderedPageBreak/>
        <w:t>(and language, if possible) of their family of origin, and the opportunity to access information about their biological family</w:t>
      </w:r>
      <w:r w:rsidRPr="00976143">
        <w:t>.</w:t>
      </w:r>
      <w:r w:rsidRPr="00EC38A3">
        <w:rPr>
          <w:sz w:val="20"/>
          <w:szCs w:val="20"/>
          <w:vertAlign w:val="superscript"/>
        </w:rPr>
        <w:endnoteReference w:id="29"/>
      </w:r>
      <w:r w:rsidRPr="00536CFA">
        <w:t xml:space="preserve"> </w:t>
      </w:r>
    </w:p>
    <w:p w14:paraId="2ED61552" w14:textId="35449DAA" w:rsidR="00BD6354" w:rsidRDefault="00BD6354" w:rsidP="00F84D7A">
      <w:pPr>
        <w:pStyle w:val="SubmissionNormal"/>
        <w:tabs>
          <w:tab w:val="clear" w:pos="786"/>
        </w:tabs>
        <w:ind w:left="720" w:hanging="720"/>
      </w:pPr>
      <w:r>
        <w:t>At the same time, the Committee has made it clear that, while preservation of religious and cultural values and traditions must be taken into consideration, practices that are inconsistent with the rights set out in the CRC are not in the child’s best interests, and that cultural identity cannot justify the perpetuation by decision-makers of traditions or cultural values that deny the rig</w:t>
      </w:r>
      <w:r w:rsidR="00FA1EDD">
        <w:t>hts guaranteed by the CRC</w:t>
      </w:r>
      <w:r>
        <w:t>.</w:t>
      </w:r>
      <w:r>
        <w:rPr>
          <w:rStyle w:val="EndnoteReference"/>
        </w:rPr>
        <w:endnoteReference w:id="30"/>
      </w:r>
    </w:p>
    <w:p w14:paraId="3DF55206" w14:textId="5913BF11" w:rsidR="009112E3" w:rsidRDefault="00966535" w:rsidP="00F84D7A">
      <w:pPr>
        <w:pStyle w:val="SubmissionNormal"/>
        <w:tabs>
          <w:tab w:val="clear" w:pos="786"/>
        </w:tabs>
        <w:ind w:left="720" w:hanging="720"/>
      </w:pPr>
      <w:r>
        <w:t>As noted</w:t>
      </w:r>
      <w:r w:rsidR="00EC6275">
        <w:t xml:space="preserve"> above</w:t>
      </w:r>
      <w:r>
        <w:t>, a</w:t>
      </w:r>
      <w:r w:rsidRPr="0056229C">
        <w:t xml:space="preserve">rticle 21 of the CRC requires that the best interests of the child be </w:t>
      </w:r>
      <w:r w:rsidRPr="00F84D7A">
        <w:rPr>
          <w:bCs/>
        </w:rPr>
        <w:t>the paramount</w:t>
      </w:r>
      <w:r w:rsidRPr="00F84D7A">
        <w:rPr>
          <w:b/>
          <w:bCs/>
        </w:rPr>
        <w:t xml:space="preserve"> </w:t>
      </w:r>
      <w:r w:rsidRPr="0056229C">
        <w:t>consideration</w:t>
      </w:r>
      <w:r w:rsidR="0056229C" w:rsidRPr="0056229C">
        <w:t xml:space="preserve"> in adoption matters</w:t>
      </w:r>
      <w:r w:rsidR="00CF07B1">
        <w:t>.</w:t>
      </w:r>
      <w:r w:rsidR="00E356D8">
        <w:rPr>
          <w:rStyle w:val="EndnoteReference"/>
        </w:rPr>
        <w:endnoteReference w:id="31"/>
      </w:r>
      <w:r w:rsidR="00CF07B1">
        <w:t xml:space="preserve"> </w:t>
      </w:r>
      <w:r w:rsidR="00976143">
        <w:t xml:space="preserve">Article 21(a) requires </w:t>
      </w:r>
      <w:r w:rsidR="00A15E05">
        <w:t>state parties</w:t>
      </w:r>
      <w:r w:rsidR="00CF07B1">
        <w:t xml:space="preserve"> to ensure that a child adoption</w:t>
      </w:r>
      <w:r w:rsidR="00976143">
        <w:t xml:space="preserve"> is authorised only by competent authorities who determine, in accordance with applicable law and procedures and on the basis of all pertinent and reliable information, that the adoption is p</w:t>
      </w:r>
      <w:r w:rsidR="00C52ACC">
        <w:t>ermissible in view of the child’</w:t>
      </w:r>
      <w:r w:rsidR="00976143">
        <w:t>s status concerning parents, relatives and legal guardians and that, if required, the persons concerned have given their informed consent to t</w:t>
      </w:r>
      <w:r w:rsidR="00C52ACC">
        <w:t>he adoption</w:t>
      </w:r>
      <w:r w:rsidR="00CF4F07">
        <w:t>.</w:t>
      </w:r>
      <w:r w:rsidR="0024257F">
        <w:rPr>
          <w:rStyle w:val="EndnoteReference"/>
        </w:rPr>
        <w:endnoteReference w:id="32"/>
      </w:r>
    </w:p>
    <w:p w14:paraId="56F23C91" w14:textId="3FA50374" w:rsidR="00EC59B7" w:rsidRDefault="009112E3" w:rsidP="00F84D7A">
      <w:pPr>
        <w:pStyle w:val="SubmissionNormal"/>
        <w:tabs>
          <w:tab w:val="clear" w:pos="786"/>
        </w:tabs>
        <w:ind w:left="720" w:hanging="720"/>
      </w:pPr>
      <w:r w:rsidRPr="00F84D7A">
        <w:rPr>
          <w:lang w:val="en-US"/>
        </w:rPr>
        <w:t xml:space="preserve">The UN Committee on the Rights of the Child has recommended that state parties introduce minimum legal age limits, including with respect to a child </w:t>
      </w:r>
      <w:r w:rsidR="003D00A3" w:rsidRPr="00F84D7A">
        <w:rPr>
          <w:lang w:val="en-US"/>
        </w:rPr>
        <w:t xml:space="preserve">providing </w:t>
      </w:r>
      <w:r w:rsidRPr="00F84D7A">
        <w:rPr>
          <w:lang w:val="en-US"/>
        </w:rPr>
        <w:t xml:space="preserve">consent to their adoption, consistent </w:t>
      </w:r>
      <w:r w:rsidR="000F66A6">
        <w:t xml:space="preserve">with </w:t>
      </w:r>
      <w:r w:rsidRPr="00DE7549">
        <w:t>respect for the evolving capacities of adolescents.</w:t>
      </w:r>
      <w:r w:rsidRPr="00DE7549">
        <w:rPr>
          <w:rStyle w:val="EndnoteReference"/>
        </w:rPr>
        <w:endnoteReference w:id="33"/>
      </w:r>
      <w:r w:rsidRPr="00DE7549">
        <w:t xml:space="preserve"> T</w:t>
      </w:r>
      <w:r w:rsidR="003D00A3">
        <w:t>he</w:t>
      </w:r>
      <w:r w:rsidRPr="00DE7549">
        <w:t xml:space="preserve"> Committee has also</w:t>
      </w:r>
      <w:r w:rsidR="003D00A3">
        <w:t xml:space="preserve"> stated that</w:t>
      </w:r>
      <w:r w:rsidRPr="00DE7549">
        <w:t xml:space="preserve"> t</w:t>
      </w:r>
      <w:r w:rsidR="003D00A3">
        <w:t>he right of any child below the</w:t>
      </w:r>
      <w:r w:rsidRPr="00DE7549">
        <w:t xml:space="preserve"> minimum age and able to demonstrate sufficient understanding to be entitled to give or refuse consent should be recognised.</w:t>
      </w:r>
      <w:r w:rsidRPr="00DE7549">
        <w:rPr>
          <w:rStyle w:val="EndnoteReference"/>
        </w:rPr>
        <w:endnoteReference w:id="34"/>
      </w:r>
      <w:r w:rsidRPr="00DE7549">
        <w:t xml:space="preserve"> </w:t>
      </w:r>
    </w:p>
    <w:p w14:paraId="2B2A8AA7" w14:textId="69E73B6C" w:rsidR="002868BF" w:rsidRDefault="003B40D5" w:rsidP="00F84D7A">
      <w:pPr>
        <w:pStyle w:val="SubmissionNormal"/>
        <w:tabs>
          <w:tab w:val="clear" w:pos="786"/>
        </w:tabs>
        <w:ind w:left="720" w:hanging="720"/>
      </w:pPr>
      <w:r>
        <w:t xml:space="preserve">In its </w:t>
      </w:r>
      <w:r w:rsidR="002A1E7A">
        <w:t xml:space="preserve">most recent </w:t>
      </w:r>
      <w:r>
        <w:t>concluding observations on Australia’s implementation of the CRC,</w:t>
      </w:r>
      <w:r w:rsidR="002A1E7A">
        <w:t xml:space="preserve"> issued in 2012,</w:t>
      </w:r>
      <w:r>
        <w:t xml:space="preserve"> the </w:t>
      </w:r>
      <w:r w:rsidR="00353E51">
        <w:t>UN</w:t>
      </w:r>
      <w:r>
        <w:t xml:space="preserve"> Committee</w:t>
      </w:r>
      <w:r w:rsidR="00975D36">
        <w:t xml:space="preserve"> on the Rights of the Child</w:t>
      </w:r>
      <w:r>
        <w:t xml:space="preserve"> expressed concern </w:t>
      </w:r>
      <w:r w:rsidR="003A2E8F">
        <w:t>that ‘</w:t>
      </w:r>
      <w:r w:rsidRPr="0074269D">
        <w:t xml:space="preserve">only three out of eight </w:t>
      </w:r>
      <w:r w:rsidR="003A2E8F">
        <w:t>jurisdictions</w:t>
      </w:r>
      <w:r w:rsidRPr="0074269D">
        <w:t xml:space="preserve"> in </w:t>
      </w:r>
      <w:r w:rsidR="003A2E8F">
        <w:t>the State party</w:t>
      </w:r>
      <w:r w:rsidRPr="0074269D">
        <w:t xml:space="preserve"> require the consent of the adopted child </w:t>
      </w:r>
      <w:r w:rsidRPr="005306D8">
        <w:t>(as of 12 years of age) prior to adopti</w:t>
      </w:r>
      <w:r w:rsidR="0074269D">
        <w:t>on</w:t>
      </w:r>
      <w:r w:rsidR="003A2E8F">
        <w:t>’;</w:t>
      </w:r>
      <w:r w:rsidR="00997516">
        <w:t xml:space="preserve"> and</w:t>
      </w:r>
      <w:r w:rsidR="003A2E8F">
        <w:t xml:space="preserve"> that ‘adoption proceedings are</w:t>
      </w:r>
      <w:r w:rsidRPr="005306D8">
        <w:t xml:space="preserve"> not undertaken with the best interests of the child as the paramount consideration</w:t>
      </w:r>
      <w:r w:rsidR="003A2E8F">
        <w:t>’</w:t>
      </w:r>
      <w:r w:rsidRPr="005306D8">
        <w:t>.</w:t>
      </w:r>
      <w:r w:rsidR="0074269D">
        <w:rPr>
          <w:rStyle w:val="EndnoteReference"/>
        </w:rPr>
        <w:endnoteReference w:id="35"/>
      </w:r>
      <w:r w:rsidR="0074269D">
        <w:t xml:space="preserve"> </w:t>
      </w:r>
    </w:p>
    <w:p w14:paraId="065CAB7E" w14:textId="21EDC9C7" w:rsidR="00BC338E" w:rsidRDefault="0027057E" w:rsidP="00F84D7A">
      <w:pPr>
        <w:pStyle w:val="SubmissionNormal"/>
        <w:tabs>
          <w:tab w:val="clear" w:pos="786"/>
        </w:tabs>
        <w:ind w:left="720" w:hanging="720"/>
      </w:pPr>
      <w:r>
        <w:t>The</w:t>
      </w:r>
      <w:r w:rsidR="00997516">
        <w:t xml:space="preserve"> Committee recommended</w:t>
      </w:r>
      <w:r w:rsidR="00997516" w:rsidRPr="005306D8">
        <w:t xml:space="preserve"> that </w:t>
      </w:r>
      <w:r w:rsidR="00997516">
        <w:t>Australia</w:t>
      </w:r>
      <w:r w:rsidR="00997516" w:rsidRPr="005306D8">
        <w:t xml:space="preserve"> undertake measures to ensure that all states and territories amend legislation on adoption, as required, in order to comply with its obligations under the </w:t>
      </w:r>
      <w:r w:rsidR="00997516">
        <w:t>CRC</w:t>
      </w:r>
      <w:r w:rsidR="00997516" w:rsidRPr="005306D8">
        <w:t xml:space="preserve"> </w:t>
      </w:r>
      <w:r w:rsidR="00997516" w:rsidRPr="0074269D">
        <w:t>to give full effect to the provisions on consent,</w:t>
      </w:r>
      <w:r w:rsidR="00997516" w:rsidRPr="005306D8">
        <w:t xml:space="preserve"> and to ensure that adoption proceedings are decided upon with the best interests of the child as the paramount consideration.</w:t>
      </w:r>
      <w:r w:rsidR="00997516">
        <w:rPr>
          <w:rStyle w:val="EndnoteReference"/>
        </w:rPr>
        <w:endnoteReference w:id="36"/>
      </w:r>
    </w:p>
    <w:p w14:paraId="07539225" w14:textId="1698AD00" w:rsidR="00767BC9" w:rsidRDefault="00060CBB" w:rsidP="00C53851">
      <w:pPr>
        <w:pStyle w:val="SubmissionNormal"/>
        <w:tabs>
          <w:tab w:val="clear" w:pos="786"/>
        </w:tabs>
        <w:spacing w:after="120"/>
        <w:ind w:left="720" w:hanging="720"/>
      </w:pPr>
      <w:r w:rsidRPr="00F30C15">
        <w:t xml:space="preserve">In the </w:t>
      </w:r>
      <w:r w:rsidR="00CF4F07" w:rsidRPr="00F30C15">
        <w:t xml:space="preserve">Australian Government’s </w:t>
      </w:r>
      <w:r w:rsidR="00BB0CB1" w:rsidRPr="00F30C15">
        <w:t xml:space="preserve">joint fifth and sixth report under the CRC, lodged with the Committee in January 2018, </w:t>
      </w:r>
      <w:r w:rsidR="00767BC9" w:rsidRPr="00F30C15">
        <w:t>it indicated that:</w:t>
      </w:r>
    </w:p>
    <w:p w14:paraId="1E8E8918" w14:textId="77777777" w:rsidR="00246063" w:rsidRPr="00F30C15" w:rsidRDefault="00246063" w:rsidP="00D264AF">
      <w:pPr>
        <w:pStyle w:val="SubmissionNormal"/>
        <w:numPr>
          <w:ilvl w:val="1"/>
          <w:numId w:val="15"/>
        </w:numPr>
        <w:spacing w:before="120" w:after="120"/>
        <w:ind w:left="1434" w:hanging="357"/>
      </w:pPr>
      <w:r>
        <w:t>A</w:t>
      </w:r>
      <w:r w:rsidRPr="00F30C15">
        <w:t>doption legislation</w:t>
      </w:r>
      <w:r>
        <w:t xml:space="preserve"> in Australia</w:t>
      </w:r>
      <w:r w:rsidRPr="00F30C15">
        <w:t xml:space="preserve"> </w:t>
      </w:r>
      <w:r>
        <w:t>‘</w:t>
      </w:r>
      <w:r w:rsidRPr="00F30C15">
        <w:t>specifies that the welfare, wellbeing and/or best interests of the child are the main object or paramount consideration</w:t>
      </w:r>
      <w:r>
        <w:t>’</w:t>
      </w:r>
      <w:r w:rsidRPr="00F30C15">
        <w:t>.</w:t>
      </w:r>
      <w:r>
        <w:rPr>
          <w:rStyle w:val="EndnoteReference"/>
        </w:rPr>
        <w:endnoteReference w:id="37"/>
      </w:r>
      <w:r w:rsidRPr="00F30C15">
        <w:t xml:space="preserve"> </w:t>
      </w:r>
      <w:r>
        <w:t>An appendix to the government’s report outlines the different ways this principle is reflected in state and territory legislation.</w:t>
      </w:r>
      <w:r>
        <w:rPr>
          <w:rStyle w:val="EndnoteReference"/>
        </w:rPr>
        <w:endnoteReference w:id="38"/>
      </w:r>
    </w:p>
    <w:p w14:paraId="5D2E19E2" w14:textId="77777777" w:rsidR="00246063" w:rsidRPr="00F30C15" w:rsidRDefault="00246063" w:rsidP="00D264AF">
      <w:pPr>
        <w:pStyle w:val="SubmissionNormal"/>
        <w:numPr>
          <w:ilvl w:val="1"/>
          <w:numId w:val="15"/>
        </w:numPr>
        <w:spacing w:before="120" w:after="120"/>
        <w:ind w:left="1434" w:hanging="357"/>
      </w:pPr>
      <w:r w:rsidRPr="00F30C15">
        <w:t>In all but two jurisdictions, adoption legislation entitles children to legal o</w:t>
      </w:r>
      <w:r>
        <w:t>r other separate representation.</w:t>
      </w:r>
      <w:r>
        <w:rPr>
          <w:rStyle w:val="EndnoteReference"/>
        </w:rPr>
        <w:endnoteReference w:id="39"/>
      </w:r>
      <w:r w:rsidRPr="00F30C15">
        <w:t xml:space="preserve"> </w:t>
      </w:r>
    </w:p>
    <w:p w14:paraId="7A31A25A" w14:textId="64AB75F6" w:rsidR="00AA00A4" w:rsidRDefault="00246063" w:rsidP="00D264AF">
      <w:pPr>
        <w:pStyle w:val="SubmissionNormal"/>
        <w:numPr>
          <w:ilvl w:val="1"/>
          <w:numId w:val="15"/>
        </w:numPr>
        <w:spacing w:before="120" w:after="120"/>
        <w:ind w:left="1434" w:hanging="357"/>
      </w:pPr>
      <w:r w:rsidRPr="00F30C15">
        <w:lastRenderedPageBreak/>
        <w:t>Consent of the adopted child (from 12 years) prior to adoption is required in four jurisdictions</w:t>
      </w:r>
      <w:r>
        <w:t>,</w:t>
      </w:r>
      <w:r>
        <w:rPr>
          <w:rStyle w:val="EndnoteReference"/>
        </w:rPr>
        <w:endnoteReference w:id="40"/>
      </w:r>
      <w:r>
        <w:t xml:space="preserve"> and the ‘</w:t>
      </w:r>
      <w:r w:rsidRPr="00F30C15">
        <w:t>child’s views, wishes or feelings must be considered before the making of an adoption order in all jurisdictions</w:t>
      </w:r>
      <w:r>
        <w:t>’</w:t>
      </w:r>
      <w:r w:rsidRPr="00F30C15">
        <w:t>.</w:t>
      </w:r>
      <w:r>
        <w:rPr>
          <w:rStyle w:val="EndnoteReference"/>
        </w:rPr>
        <w:endnoteReference w:id="41"/>
      </w:r>
    </w:p>
    <w:p w14:paraId="0314BE91" w14:textId="3F5BF69C" w:rsidR="00C322DA" w:rsidRPr="00246063" w:rsidRDefault="00CF4F07" w:rsidP="00246063">
      <w:pPr>
        <w:pStyle w:val="SubmissionNormal"/>
        <w:tabs>
          <w:tab w:val="clear" w:pos="786"/>
        </w:tabs>
        <w:ind w:left="720" w:hanging="720"/>
      </w:pPr>
      <w:r w:rsidRPr="005106F3">
        <w:t xml:space="preserve">Article 30 of the CRC </w:t>
      </w:r>
      <w:r>
        <w:t xml:space="preserve">specifically </w:t>
      </w:r>
      <w:r w:rsidRPr="005106F3">
        <w:t>recognises the right of an</w:t>
      </w:r>
      <w:r w:rsidRPr="00EE42A6">
        <w:t xml:space="preserve"> Indigenous child, in </w:t>
      </w:r>
      <w:r w:rsidRPr="00246063">
        <w:rPr>
          <w:rFonts w:cs="Arial"/>
        </w:rPr>
        <w:t>community</w:t>
      </w:r>
      <w:r w:rsidRPr="00EE42A6">
        <w:t xml:space="preserve"> with other members of </w:t>
      </w:r>
      <w:r w:rsidR="00743084">
        <w:t>their</w:t>
      </w:r>
      <w:r w:rsidRPr="00EE42A6">
        <w:t xml:space="preserve"> group, to e</w:t>
      </w:r>
      <w:r>
        <w:t xml:space="preserve">njoy </w:t>
      </w:r>
      <w:r w:rsidR="00743084">
        <w:t>their</w:t>
      </w:r>
      <w:r>
        <w:t xml:space="preserve"> own culture, </w:t>
      </w:r>
      <w:r w:rsidRPr="00EE42A6">
        <w:t xml:space="preserve">practise </w:t>
      </w:r>
      <w:r w:rsidR="00743084">
        <w:t>their</w:t>
      </w:r>
      <w:r w:rsidRPr="00EE42A6">
        <w:t xml:space="preserve"> own religion, </w:t>
      </w:r>
      <w:r>
        <w:t xml:space="preserve">and </w:t>
      </w:r>
      <w:r w:rsidRPr="00EE42A6">
        <w:t xml:space="preserve">use </w:t>
      </w:r>
      <w:r w:rsidR="00743084">
        <w:t>their</w:t>
      </w:r>
      <w:r w:rsidRPr="00EE42A6">
        <w:t xml:space="preserve"> own language.</w:t>
      </w:r>
      <w:r w:rsidR="001427C3">
        <w:rPr>
          <w:rStyle w:val="EndnoteReference"/>
        </w:rPr>
        <w:endnoteReference w:id="42"/>
      </w:r>
      <w:r w:rsidRPr="00EE42A6">
        <w:t xml:space="preserve"> The UN Committee on the Rights of the Child has stated that this right </w:t>
      </w:r>
      <w:r>
        <w:t>‘</w:t>
      </w:r>
      <w:r w:rsidRPr="00246063">
        <w:rPr>
          <w:color w:val="000000"/>
        </w:rPr>
        <w:t>is conceived as being both individual and collective and is an important recognition of the collective traditions and values in indigenous cultures’.</w:t>
      </w:r>
      <w:r>
        <w:rPr>
          <w:rStyle w:val="EndnoteReference"/>
          <w:color w:val="000000"/>
        </w:rPr>
        <w:endnoteReference w:id="43"/>
      </w:r>
      <w:r w:rsidRPr="00246063">
        <w:rPr>
          <w:color w:val="000000"/>
        </w:rPr>
        <w:t xml:space="preserve"> </w:t>
      </w:r>
    </w:p>
    <w:p w14:paraId="2F9E3053" w14:textId="7FB30EF0" w:rsidR="00D516F3" w:rsidRDefault="00AA092F" w:rsidP="00246063">
      <w:pPr>
        <w:pStyle w:val="SubmissionNormal"/>
        <w:tabs>
          <w:tab w:val="clear" w:pos="786"/>
        </w:tabs>
        <w:ind w:left="720" w:hanging="720"/>
      </w:pPr>
      <w:r w:rsidRPr="00F82AD5">
        <w:t>T</w:t>
      </w:r>
      <w:r w:rsidR="006670D0">
        <w:t xml:space="preserve">he </w:t>
      </w:r>
      <w:r w:rsidRPr="00F82AD5">
        <w:t>Committee has emphasised that children are ‘not a homogenous group’ and that ‘diversity must be taken into account when assessing their best interests’.</w:t>
      </w:r>
      <w:r w:rsidR="00165FCA">
        <w:rPr>
          <w:rStyle w:val="EndnoteReference"/>
        </w:rPr>
        <w:endnoteReference w:id="44"/>
      </w:r>
      <w:r w:rsidRPr="00F82AD5">
        <w:t xml:space="preserve"> The right of the child to preserve </w:t>
      </w:r>
      <w:r w:rsidR="00262CFF">
        <w:t xml:space="preserve">their </w:t>
      </w:r>
      <w:r w:rsidRPr="00F82AD5">
        <w:t>identity</w:t>
      </w:r>
      <w:r w:rsidR="008E1E81">
        <w:t>, including their cultural identity,</w:t>
      </w:r>
      <w:r w:rsidR="00CF4F07">
        <w:t xml:space="preserve"> </w:t>
      </w:r>
      <w:r w:rsidRPr="00F82AD5">
        <w:t>must be respected and taken into consideration when assessing the child’s best interests.</w:t>
      </w:r>
      <w:r w:rsidRPr="00F82AD5">
        <w:rPr>
          <w:rStyle w:val="EndnoteReference"/>
        </w:rPr>
        <w:endnoteReference w:id="45"/>
      </w:r>
      <w:r w:rsidRPr="00F82AD5">
        <w:t xml:space="preserve"> </w:t>
      </w:r>
      <w:r w:rsidR="00E61C21">
        <w:t>In the Australian contex</w:t>
      </w:r>
      <w:r w:rsidR="00406B2F">
        <w:t>t</w:t>
      </w:r>
      <w:r w:rsidR="001E78D3">
        <w:t>,</w:t>
      </w:r>
      <w:r w:rsidR="00406B2F">
        <w:t xml:space="preserve"> this is particularly </w:t>
      </w:r>
      <w:r w:rsidR="00A55964">
        <w:t>important for</w:t>
      </w:r>
      <w:r w:rsidR="00406B2F">
        <w:t xml:space="preserve"> Aboriginal and Torres Strait Islander children</w:t>
      </w:r>
      <w:r w:rsidR="00F159B7">
        <w:t xml:space="preserve">, </w:t>
      </w:r>
      <w:r w:rsidR="00406B2F">
        <w:t xml:space="preserve">who are </w:t>
      </w:r>
      <w:r w:rsidR="00C72661">
        <w:t>overrepresented in the out-of-home care system.</w:t>
      </w:r>
    </w:p>
    <w:p w14:paraId="4FC25CDE" w14:textId="0D02A444" w:rsidR="00700F50" w:rsidRDefault="008D5A06" w:rsidP="00246063">
      <w:pPr>
        <w:pStyle w:val="SubmissionNormal"/>
        <w:tabs>
          <w:tab w:val="clear" w:pos="786"/>
        </w:tabs>
        <w:ind w:left="720" w:hanging="720"/>
      </w:pPr>
      <w:r w:rsidRPr="00C72661">
        <w:t xml:space="preserve">The </w:t>
      </w:r>
      <w:r w:rsidR="00F159B7">
        <w:t xml:space="preserve">Committee </w:t>
      </w:r>
      <w:r w:rsidR="00C72661">
        <w:t>has stated</w:t>
      </w:r>
      <w:r w:rsidR="00FB39D4" w:rsidRPr="00C72661">
        <w:t xml:space="preserve"> that, in jurisdictions where I</w:t>
      </w:r>
      <w:r w:rsidRPr="00C72661">
        <w:t>ndigenous children are overrepresented among children separated from their family environment, specially targeted policy measures should be developed</w:t>
      </w:r>
      <w:r w:rsidR="00FB39D4" w:rsidRPr="00C72661">
        <w:t xml:space="preserve"> in consultation with I</w:t>
      </w:r>
      <w:r w:rsidRPr="00C72661">
        <w:t>ndigenous communities in</w:t>
      </w:r>
      <w:r w:rsidR="00FB39D4" w:rsidRPr="00C72661">
        <w:t xml:space="preserve"> order to reduce the number of I</w:t>
      </w:r>
      <w:r w:rsidRPr="00C72661">
        <w:t>ndigenous children in alternative care and prevent the loss of their cultural</w:t>
      </w:r>
      <w:r w:rsidR="00F02C29">
        <w:t xml:space="preserve"> identity. I</w:t>
      </w:r>
      <w:r w:rsidR="00FB39D4" w:rsidRPr="00C72661">
        <w:t>f an I</w:t>
      </w:r>
      <w:r w:rsidRPr="00C72661">
        <w:t xml:space="preserve">ndigenous child is placed in care outside their community, the </w:t>
      </w:r>
      <w:r w:rsidR="00387955">
        <w:t>s</w:t>
      </w:r>
      <w:r w:rsidR="00F16A25">
        <w:t>tate party</w:t>
      </w:r>
      <w:r w:rsidR="00F16A25" w:rsidRPr="00C72661">
        <w:t xml:space="preserve"> </w:t>
      </w:r>
      <w:r w:rsidRPr="00C72661">
        <w:t>should take special measures to ensure that the child can maintain their cultural identity.</w:t>
      </w:r>
      <w:r w:rsidRPr="00C72661">
        <w:rPr>
          <w:rStyle w:val="EndnoteReference"/>
        </w:rPr>
        <w:endnoteReference w:id="46"/>
      </w:r>
      <w:r w:rsidRPr="00C72661">
        <w:t xml:space="preserve"> </w:t>
      </w:r>
      <w:r w:rsidR="00A55964">
        <w:t>Furthermore, ma</w:t>
      </w:r>
      <w:r w:rsidR="00700F50" w:rsidRPr="00414A88">
        <w:t xml:space="preserve">intaining </w:t>
      </w:r>
      <w:r w:rsidR="00F02C29">
        <w:t>the integrity of I</w:t>
      </w:r>
      <w:r w:rsidR="00700F50" w:rsidRPr="00414A88">
        <w:t xml:space="preserve">ndigenous families and communities </w:t>
      </w:r>
      <w:r w:rsidR="002868BF">
        <w:t>is</w:t>
      </w:r>
      <w:r w:rsidR="002868BF" w:rsidRPr="00414A88">
        <w:t xml:space="preserve"> </w:t>
      </w:r>
      <w:r w:rsidR="002868BF">
        <w:t>a</w:t>
      </w:r>
      <w:r w:rsidR="002868BF" w:rsidRPr="00414A88">
        <w:t xml:space="preserve"> </w:t>
      </w:r>
      <w:r w:rsidR="00700F50" w:rsidRPr="00414A88">
        <w:t>primary consideration i</w:t>
      </w:r>
      <w:r w:rsidR="00F02C29">
        <w:t>n adoption processes affecting I</w:t>
      </w:r>
      <w:r w:rsidR="00700F50" w:rsidRPr="00414A88">
        <w:t>ndigenous children.</w:t>
      </w:r>
      <w:r w:rsidR="00700F50" w:rsidRPr="00414A88">
        <w:rPr>
          <w:rStyle w:val="EndnoteReference"/>
          <w:rFonts w:eastAsia="MS Mincho" w:cs="Arial"/>
          <w:color w:val="000000" w:themeColor="text1"/>
        </w:rPr>
        <w:endnoteReference w:id="47"/>
      </w:r>
    </w:p>
    <w:p w14:paraId="49B0D0AA" w14:textId="7EE4469E" w:rsidR="00CD2C6F" w:rsidRDefault="00F02C29" w:rsidP="00246063">
      <w:pPr>
        <w:pStyle w:val="SubmissionNormal"/>
        <w:tabs>
          <w:tab w:val="clear" w:pos="786"/>
        </w:tabs>
        <w:ind w:left="720" w:hanging="720"/>
      </w:pPr>
      <w:r w:rsidRPr="00C72661">
        <w:t xml:space="preserve">The </w:t>
      </w:r>
      <w:r>
        <w:t>Committee has also indicated</w:t>
      </w:r>
      <w:r w:rsidRPr="00C72661">
        <w:t xml:space="preserve"> that </w:t>
      </w:r>
      <w:r w:rsidR="00387955">
        <w:t>s</w:t>
      </w:r>
      <w:r w:rsidRPr="00C72661">
        <w:t>tate parties should, in cooperation with Indigenous families and communities, collect data on the situation of Indigenous children in foster care and adoption processes</w:t>
      </w:r>
      <w:r w:rsidR="00967195">
        <w:t>. This information</w:t>
      </w:r>
      <w:r w:rsidR="00E85187">
        <w:t xml:space="preserve"> </w:t>
      </w:r>
      <w:r w:rsidRPr="00C72661">
        <w:t>should be used to design policies relating to the family environment and alternative care of Indigenous children in a culturally sensitive way.</w:t>
      </w:r>
      <w:r w:rsidRPr="00C72661">
        <w:rPr>
          <w:rStyle w:val="EndnoteReference"/>
        </w:rPr>
        <w:endnoteReference w:id="48"/>
      </w:r>
      <w:r w:rsidRPr="00C72661">
        <w:t xml:space="preserve"> </w:t>
      </w:r>
    </w:p>
    <w:p w14:paraId="338A55D5" w14:textId="77777777" w:rsidR="009620F9" w:rsidRDefault="009620F9" w:rsidP="009620F9">
      <w:pPr>
        <w:pStyle w:val="Heading1"/>
        <w:numPr>
          <w:ilvl w:val="0"/>
          <w:numId w:val="16"/>
        </w:numPr>
        <w:rPr>
          <w:lang w:val="en"/>
        </w:rPr>
      </w:pPr>
      <w:bookmarkStart w:id="17" w:name="_Toc516142232"/>
      <w:r>
        <w:rPr>
          <w:lang w:val="en"/>
        </w:rPr>
        <w:t xml:space="preserve">Children in </w:t>
      </w:r>
      <w:r w:rsidRPr="00C77401">
        <w:rPr>
          <w:lang w:val="en"/>
        </w:rPr>
        <w:t>out-of-home care</w:t>
      </w:r>
      <w:bookmarkEnd w:id="17"/>
      <w:r>
        <w:rPr>
          <w:lang w:val="en"/>
        </w:rPr>
        <w:t xml:space="preserve"> </w:t>
      </w:r>
    </w:p>
    <w:p w14:paraId="16760593" w14:textId="6189F0B3" w:rsidR="00D55B6F" w:rsidRDefault="009620F9" w:rsidP="00E86EA7">
      <w:pPr>
        <w:pStyle w:val="Heading2"/>
        <w:numPr>
          <w:ilvl w:val="1"/>
          <w:numId w:val="16"/>
        </w:numPr>
      </w:pPr>
      <w:bookmarkStart w:id="18" w:name="_Toc516142233"/>
      <w:r>
        <w:t>Number of children in out-of-home care</w:t>
      </w:r>
      <w:bookmarkEnd w:id="18"/>
    </w:p>
    <w:p w14:paraId="1822D951" w14:textId="7B2408DE" w:rsidR="00FF60DF" w:rsidRDefault="002C0BC4" w:rsidP="009620F9">
      <w:pPr>
        <w:pStyle w:val="SubmissionNormal"/>
        <w:tabs>
          <w:tab w:val="clear" w:pos="786"/>
        </w:tabs>
        <w:ind w:left="720" w:hanging="720"/>
      </w:pPr>
      <w:r w:rsidRPr="009620F9">
        <w:rPr>
          <w:lang w:val="en"/>
        </w:rPr>
        <w:t>According to t</w:t>
      </w:r>
      <w:r w:rsidR="00FB754B" w:rsidRPr="009620F9">
        <w:rPr>
          <w:lang w:val="en"/>
        </w:rPr>
        <w:t>he</w:t>
      </w:r>
      <w:r w:rsidRPr="009620F9">
        <w:rPr>
          <w:lang w:val="en"/>
        </w:rPr>
        <w:t xml:space="preserve"> Australian Institute of Heal</w:t>
      </w:r>
      <w:r w:rsidR="00765CAC" w:rsidRPr="009620F9">
        <w:rPr>
          <w:lang w:val="en"/>
        </w:rPr>
        <w:t xml:space="preserve">th and Welfare, </w:t>
      </w:r>
      <w:r w:rsidR="00192748" w:rsidRPr="009620F9">
        <w:rPr>
          <w:lang w:val="en"/>
        </w:rPr>
        <w:t xml:space="preserve">as of 30 June 2017, there were </w:t>
      </w:r>
      <w:r w:rsidR="00192748" w:rsidRPr="00850176">
        <w:t>47,915 children in out-of-home care in Australia</w:t>
      </w:r>
      <w:r w:rsidR="001002FC">
        <w:t xml:space="preserve">, at a </w:t>
      </w:r>
      <w:r w:rsidR="00C207EC" w:rsidRPr="00850176">
        <w:t xml:space="preserve">rate of </w:t>
      </w:r>
      <w:r w:rsidR="00192748" w:rsidRPr="00850176">
        <w:t>8.7 per 1,000 children</w:t>
      </w:r>
      <w:r w:rsidR="009F6C2A" w:rsidRPr="00850176">
        <w:t>.</w:t>
      </w:r>
      <w:r w:rsidR="004E6FE3" w:rsidRPr="00850176">
        <w:rPr>
          <w:rStyle w:val="EndnoteReference"/>
        </w:rPr>
        <w:endnoteReference w:id="49"/>
      </w:r>
      <w:r w:rsidR="004E6FE3" w:rsidRPr="00850176">
        <w:t xml:space="preserve"> </w:t>
      </w:r>
      <w:r w:rsidR="00E11C1A" w:rsidRPr="00850176">
        <w:t>This rate has increased</w:t>
      </w:r>
      <w:r w:rsidR="0018462E">
        <w:t xml:space="preserve"> from 7.7 per 1,000 children in</w:t>
      </w:r>
      <w:r w:rsidR="00053500">
        <w:t xml:space="preserve"> </w:t>
      </w:r>
      <w:r w:rsidR="00E11C1A" w:rsidRPr="00850176">
        <w:t>2013.</w:t>
      </w:r>
      <w:r w:rsidR="00E11C1A" w:rsidRPr="00850176">
        <w:rPr>
          <w:rStyle w:val="EndnoteReference"/>
        </w:rPr>
        <w:endnoteReference w:id="50"/>
      </w:r>
      <w:r w:rsidR="00E11C1A" w:rsidRPr="00850176">
        <w:t xml:space="preserve"> Overall, 7,366 more child</w:t>
      </w:r>
      <w:r w:rsidR="0018462E">
        <w:t xml:space="preserve">ren were in out-of-home care as of </w:t>
      </w:r>
      <w:r w:rsidR="00E11C1A" w:rsidRPr="00850176">
        <w:t>30 June 2017 compare</w:t>
      </w:r>
      <w:r w:rsidR="00B55279">
        <w:t>d with 30 June 2013, an 18% increase</w:t>
      </w:r>
      <w:r w:rsidR="00E11C1A" w:rsidRPr="00850176">
        <w:t>.</w:t>
      </w:r>
      <w:r w:rsidR="00E11C1A" w:rsidRPr="00850176">
        <w:rPr>
          <w:rStyle w:val="EndnoteReference"/>
        </w:rPr>
        <w:endnoteReference w:id="51"/>
      </w:r>
    </w:p>
    <w:p w14:paraId="2119F874" w14:textId="173880BC" w:rsidR="009B3634" w:rsidRDefault="003D517A" w:rsidP="009620F9">
      <w:pPr>
        <w:pStyle w:val="SubmissionNormal"/>
        <w:tabs>
          <w:tab w:val="clear" w:pos="786"/>
        </w:tabs>
        <w:ind w:left="720" w:hanging="720"/>
      </w:pPr>
      <w:r w:rsidRPr="009620F9">
        <w:rPr>
          <w:lang w:val="en-US"/>
        </w:rPr>
        <w:t>Aboriginal and Torre</w:t>
      </w:r>
      <w:r w:rsidR="00467433" w:rsidRPr="009620F9">
        <w:rPr>
          <w:lang w:val="en-US"/>
        </w:rPr>
        <w:t>s</w:t>
      </w:r>
      <w:r w:rsidRPr="009620F9">
        <w:rPr>
          <w:lang w:val="en-US"/>
        </w:rPr>
        <w:t xml:space="preserve"> Strait Island</w:t>
      </w:r>
      <w:r w:rsidR="00FB754B" w:rsidRPr="009620F9">
        <w:rPr>
          <w:lang w:val="en-US"/>
        </w:rPr>
        <w:t>er children are disproportionately represented in the out-of-home care system</w:t>
      </w:r>
      <w:r w:rsidRPr="009620F9">
        <w:rPr>
          <w:lang w:val="en-US"/>
        </w:rPr>
        <w:t xml:space="preserve">. </w:t>
      </w:r>
      <w:r w:rsidR="009B3634" w:rsidRPr="009B3634">
        <w:t xml:space="preserve">As of </w:t>
      </w:r>
      <w:r w:rsidR="00192748" w:rsidRPr="009B3634">
        <w:t xml:space="preserve">30 June 2017, </w:t>
      </w:r>
      <w:r w:rsidR="009B3634" w:rsidRPr="009B3634">
        <w:lastRenderedPageBreak/>
        <w:t xml:space="preserve">there were </w:t>
      </w:r>
      <w:r w:rsidR="00192748" w:rsidRPr="009B3634">
        <w:t>17,664 Aboriginal and Torr</w:t>
      </w:r>
      <w:r w:rsidR="009B3634" w:rsidRPr="009B3634">
        <w:t>es Strait Islander children</w:t>
      </w:r>
      <w:r w:rsidR="00192748" w:rsidRPr="009B3634">
        <w:t xml:space="preserve"> in out-of-home care</w:t>
      </w:r>
      <w:r w:rsidR="009B3634" w:rsidRPr="009B3634">
        <w:t xml:space="preserve">, at a rate of 58.7 per 1,000 children. This was </w:t>
      </w:r>
      <w:r w:rsidR="009B3634" w:rsidRPr="009620F9">
        <w:rPr>
          <w:b/>
        </w:rPr>
        <w:t>ten times the rate for non-Indigenous children</w:t>
      </w:r>
      <w:r w:rsidR="009B3634" w:rsidRPr="009B3634">
        <w:t>.</w:t>
      </w:r>
      <w:r w:rsidR="00EF1E63">
        <w:rPr>
          <w:rStyle w:val="EndnoteReference"/>
        </w:rPr>
        <w:endnoteReference w:id="52"/>
      </w:r>
      <w:r w:rsidR="009B3634" w:rsidRPr="009B3634">
        <w:t xml:space="preserve"> </w:t>
      </w:r>
    </w:p>
    <w:p w14:paraId="219F3218" w14:textId="5469361B" w:rsidR="0090053B" w:rsidRDefault="00332C40" w:rsidP="00E86EA7">
      <w:pPr>
        <w:pStyle w:val="SubmissionNormal"/>
        <w:tabs>
          <w:tab w:val="clear" w:pos="786"/>
        </w:tabs>
        <w:ind w:left="720" w:hanging="720"/>
      </w:pPr>
      <w:r w:rsidRPr="00850176">
        <w:t xml:space="preserve">Of the 47,915 children in out-of-home care in Australia as of 30 June 2017, most </w:t>
      </w:r>
      <w:r>
        <w:t xml:space="preserve">of them </w:t>
      </w:r>
      <w:r w:rsidRPr="00850176">
        <w:t xml:space="preserve">(83%) had been continuously in out-of-home care for one year or more. </w:t>
      </w:r>
      <w:r>
        <w:t xml:space="preserve">This included </w:t>
      </w:r>
      <w:r w:rsidRPr="00850176">
        <w:t>27% who had been in out-of-home care for 2 to 5 years</w:t>
      </w:r>
      <w:r>
        <w:t xml:space="preserve">, and </w:t>
      </w:r>
      <w:r w:rsidRPr="00850176">
        <w:t>41% who had been in out-of-home care for 5 years or more.</w:t>
      </w:r>
      <w:r w:rsidRPr="00850176">
        <w:rPr>
          <w:rStyle w:val="EndnoteReference"/>
        </w:rPr>
        <w:endnoteReference w:id="53"/>
      </w:r>
    </w:p>
    <w:p w14:paraId="634D8F09" w14:textId="65BAD0CE" w:rsidR="008E626B" w:rsidRDefault="008E626B" w:rsidP="008E626B">
      <w:pPr>
        <w:pStyle w:val="Heading2"/>
        <w:numPr>
          <w:ilvl w:val="1"/>
          <w:numId w:val="16"/>
        </w:numPr>
      </w:pPr>
      <w:bookmarkStart w:id="19" w:name="_Toc516142234"/>
      <w:r>
        <w:t>Measures to reduce the number of children in out-of-home care</w:t>
      </w:r>
      <w:bookmarkEnd w:id="19"/>
    </w:p>
    <w:p w14:paraId="51263E78" w14:textId="7A9A5BEF" w:rsidR="005C6466" w:rsidRPr="008E626B" w:rsidRDefault="005C6466" w:rsidP="008E626B">
      <w:pPr>
        <w:pStyle w:val="SubmissionNormal"/>
        <w:tabs>
          <w:tab w:val="clear" w:pos="786"/>
        </w:tabs>
        <w:ind w:left="720" w:hanging="720"/>
      </w:pPr>
      <w:r w:rsidRPr="008E626B">
        <w:rPr>
          <w:lang w:val="en-US"/>
        </w:rPr>
        <w:t xml:space="preserve">In its 2012 concluding observations on Australia’s compliance with the CRC, the UN Committee on the Rights of the Child raised concerns about the significant increase in the number of children in out-of-home care in Australia and the absence of data documenting the criteria and decisions leading to </w:t>
      </w:r>
      <w:r w:rsidR="001E5384" w:rsidRPr="008E626B">
        <w:rPr>
          <w:lang w:val="en-US"/>
        </w:rPr>
        <w:t xml:space="preserve">out-of-home care </w:t>
      </w:r>
      <w:r w:rsidRPr="008E626B">
        <w:rPr>
          <w:lang w:val="en-US"/>
        </w:rPr>
        <w:t>placements.</w:t>
      </w:r>
      <w:r>
        <w:rPr>
          <w:rStyle w:val="EndnoteReference"/>
          <w:lang w:val="en-US"/>
        </w:rPr>
        <w:endnoteReference w:id="54"/>
      </w:r>
      <w:r w:rsidRPr="008E626B">
        <w:rPr>
          <w:lang w:val="en-US"/>
        </w:rPr>
        <w:t xml:space="preserve"> </w:t>
      </w:r>
    </w:p>
    <w:p w14:paraId="4337603A" w14:textId="47DAF8A0" w:rsidR="005C6466" w:rsidRPr="008E626B" w:rsidRDefault="005C6466" w:rsidP="008E626B">
      <w:pPr>
        <w:pStyle w:val="SubmissionNormal"/>
        <w:tabs>
          <w:tab w:val="clear" w:pos="786"/>
        </w:tabs>
        <w:ind w:left="720" w:hanging="720"/>
      </w:pPr>
      <w:r w:rsidRPr="008E626B">
        <w:rPr>
          <w:lang w:val="en-US"/>
        </w:rPr>
        <w:t>The Committee also expressed concerns about ‘widespread reports of inadequacies and abuse’ occurring in out-of-home care</w:t>
      </w:r>
      <w:r w:rsidR="001E5384" w:rsidRPr="008E626B">
        <w:rPr>
          <w:lang w:val="en-US"/>
        </w:rPr>
        <w:t xml:space="preserve"> in Australia</w:t>
      </w:r>
      <w:r w:rsidRPr="008E626B">
        <w:rPr>
          <w:lang w:val="en-US"/>
        </w:rPr>
        <w:t>, including: inappropriate placements; inadequate screening, training, support and assessment of carers; shortage of care options; poor outcomes for children in care; abuse and neglect of children in care; inadequate preparation for children leaving care; and placement of Aboriginal and Torres Strait Islander children outside their communities and the need for more Aboriginal carers.</w:t>
      </w:r>
      <w:r>
        <w:rPr>
          <w:rStyle w:val="EndnoteReference"/>
          <w:lang w:val="en-US"/>
        </w:rPr>
        <w:endnoteReference w:id="55"/>
      </w:r>
      <w:r w:rsidRPr="008E626B">
        <w:rPr>
          <w:lang w:val="en-US"/>
        </w:rPr>
        <w:t xml:space="preserve"> </w:t>
      </w:r>
    </w:p>
    <w:p w14:paraId="3E737AB8" w14:textId="1C0A26EA" w:rsidR="005C6466" w:rsidRPr="008E626B" w:rsidRDefault="005C6466" w:rsidP="008E626B">
      <w:pPr>
        <w:pStyle w:val="SubmissionNormal"/>
        <w:tabs>
          <w:tab w:val="clear" w:pos="786"/>
        </w:tabs>
        <w:ind w:left="720" w:hanging="720"/>
      </w:pPr>
      <w:r w:rsidRPr="008E626B">
        <w:rPr>
          <w:lang w:val="en-US"/>
        </w:rPr>
        <w:t>The Committee urged Australia to examine the root causes of the extent of child abuse and neglect, and to provide data on the reasons children are placed in out-of-home care, with a view to reducing the number of such children. It also recommended measures to strengthen programs for family support, and measures to improve the situation of children in out-of-home care.</w:t>
      </w:r>
      <w:r>
        <w:rPr>
          <w:rStyle w:val="EndnoteReference"/>
          <w:lang w:val="en-US"/>
        </w:rPr>
        <w:endnoteReference w:id="56"/>
      </w:r>
    </w:p>
    <w:p w14:paraId="01E870A3" w14:textId="09A3194E" w:rsidR="001E5384" w:rsidRPr="008E626B" w:rsidRDefault="000E2F42" w:rsidP="008E626B">
      <w:pPr>
        <w:pStyle w:val="SubmissionNormal"/>
        <w:tabs>
          <w:tab w:val="clear" w:pos="786"/>
        </w:tabs>
        <w:ind w:left="720" w:hanging="720"/>
      </w:pPr>
      <w:r w:rsidRPr="008E626B">
        <w:rPr>
          <w:lang w:val="en-US"/>
        </w:rPr>
        <w:t xml:space="preserve">The increase in the number of children in out-of-home care </w:t>
      </w:r>
      <w:r w:rsidR="00EE3134" w:rsidRPr="008E626B">
        <w:rPr>
          <w:lang w:val="en-US"/>
        </w:rPr>
        <w:t xml:space="preserve">and the lack of comprehensive early intervention services for vulnerable families </w:t>
      </w:r>
      <w:r w:rsidRPr="008E626B">
        <w:rPr>
          <w:lang w:val="en-US"/>
        </w:rPr>
        <w:t>are issues that the National Children’s Commissioner</w:t>
      </w:r>
      <w:r w:rsidR="002868BF" w:rsidRPr="008E626B">
        <w:rPr>
          <w:lang w:val="en-US"/>
        </w:rPr>
        <w:t xml:space="preserve"> </w:t>
      </w:r>
      <w:r w:rsidR="00EE3134" w:rsidRPr="008E626B">
        <w:rPr>
          <w:lang w:val="en-US"/>
        </w:rPr>
        <w:t xml:space="preserve">raised in her </w:t>
      </w:r>
      <w:r w:rsidR="00EE3134">
        <w:t xml:space="preserve">2013 </w:t>
      </w:r>
      <w:r w:rsidR="00EE3134" w:rsidRPr="008E626B">
        <w:rPr>
          <w:i/>
          <w:lang w:val="en-US"/>
        </w:rPr>
        <w:t>Children’s Rights Report</w:t>
      </w:r>
      <w:r w:rsidR="00F60406" w:rsidRPr="001A65D5">
        <w:rPr>
          <w:rStyle w:val="EndnoteReference"/>
          <w:lang w:val="en-US"/>
        </w:rPr>
        <w:endnoteReference w:id="57"/>
      </w:r>
      <w:r w:rsidRPr="008E626B">
        <w:rPr>
          <w:i/>
          <w:lang w:val="en-US"/>
        </w:rPr>
        <w:t xml:space="preserve"> </w:t>
      </w:r>
      <w:r w:rsidRPr="008E626B">
        <w:rPr>
          <w:lang w:val="en-US"/>
        </w:rPr>
        <w:t>and with the Senate Communit</w:t>
      </w:r>
      <w:r w:rsidR="004E683C" w:rsidRPr="008E626B">
        <w:rPr>
          <w:lang w:val="en-US"/>
        </w:rPr>
        <w:t>y Affairs References Committee in its 2015</w:t>
      </w:r>
      <w:r w:rsidRPr="008E626B">
        <w:rPr>
          <w:lang w:val="en-US"/>
        </w:rPr>
        <w:t xml:space="preserve"> inquir</w:t>
      </w:r>
      <w:r w:rsidR="004E683C" w:rsidRPr="008E626B">
        <w:rPr>
          <w:lang w:val="en-US"/>
        </w:rPr>
        <w:t>y into out-of-home care.</w:t>
      </w:r>
      <w:r>
        <w:rPr>
          <w:rStyle w:val="EndnoteReference"/>
          <w:lang w:val="en-US"/>
        </w:rPr>
        <w:endnoteReference w:id="58"/>
      </w:r>
      <w:r w:rsidRPr="008E626B">
        <w:rPr>
          <w:lang w:val="en-US"/>
        </w:rPr>
        <w:t xml:space="preserve"> </w:t>
      </w:r>
    </w:p>
    <w:p w14:paraId="5D7B1EA1" w14:textId="3C8B3C8C" w:rsidR="005344FC" w:rsidRDefault="000E2F42" w:rsidP="008E626B">
      <w:pPr>
        <w:pStyle w:val="SubmissionNormal"/>
        <w:tabs>
          <w:tab w:val="clear" w:pos="786"/>
        </w:tabs>
        <w:ind w:left="720" w:hanging="720"/>
      </w:pPr>
      <w:r w:rsidRPr="008E626B">
        <w:rPr>
          <w:lang w:val="en-US"/>
        </w:rPr>
        <w:t>The National Children’s Commissioner has argued that building and supporting safe, resilient families where children can grow and thrive</w:t>
      </w:r>
      <w:r w:rsidR="00E66111" w:rsidRPr="008E626B">
        <w:rPr>
          <w:lang w:val="en-US"/>
        </w:rPr>
        <w:t xml:space="preserve"> is fundamental to stemming </w:t>
      </w:r>
      <w:r w:rsidRPr="008E626B">
        <w:rPr>
          <w:lang w:val="en-US"/>
        </w:rPr>
        <w:t xml:space="preserve">further growth </w:t>
      </w:r>
      <w:r w:rsidR="00E66111" w:rsidRPr="008E626B">
        <w:rPr>
          <w:lang w:val="en-US"/>
        </w:rPr>
        <w:t xml:space="preserve">in </w:t>
      </w:r>
      <w:r w:rsidR="00513450" w:rsidRPr="008E626B">
        <w:rPr>
          <w:lang w:val="en-US"/>
        </w:rPr>
        <w:t xml:space="preserve">the </w:t>
      </w:r>
      <w:r w:rsidR="00E66111" w:rsidRPr="008E626B">
        <w:rPr>
          <w:lang w:val="en-US"/>
        </w:rPr>
        <w:t>number</w:t>
      </w:r>
      <w:r w:rsidRPr="008E626B">
        <w:rPr>
          <w:lang w:val="en-US"/>
        </w:rPr>
        <w:t xml:space="preserve"> of children in out-of-home care.</w:t>
      </w:r>
      <w:r w:rsidR="008B74DB">
        <w:rPr>
          <w:rStyle w:val="EndnoteReference"/>
          <w:lang w:val="en-US"/>
        </w:rPr>
        <w:endnoteReference w:id="59"/>
      </w:r>
      <w:r>
        <w:t xml:space="preserve"> </w:t>
      </w:r>
      <w:r w:rsidRPr="008E626B">
        <w:rPr>
          <w:lang w:val="en-US"/>
        </w:rPr>
        <w:t xml:space="preserve">Coordinated and strategic national investment in early intervention and prevention must be </w:t>
      </w:r>
      <w:r w:rsidR="00AC5F50" w:rsidRPr="008E626B">
        <w:rPr>
          <w:lang w:val="en-US"/>
        </w:rPr>
        <w:t xml:space="preserve">a major focus under </w:t>
      </w:r>
      <w:r w:rsidR="0050108A" w:rsidRPr="008E626B">
        <w:rPr>
          <w:lang w:val="en-US"/>
        </w:rPr>
        <w:t xml:space="preserve">the </w:t>
      </w:r>
      <w:r w:rsidR="00951799" w:rsidRPr="008E626B">
        <w:rPr>
          <w:lang w:val="en-US"/>
        </w:rPr>
        <w:t>National Framework for Protecting Australia's Children</w:t>
      </w:r>
      <w:r w:rsidR="00677522" w:rsidRPr="008E626B">
        <w:rPr>
          <w:lang w:val="en-US"/>
        </w:rPr>
        <w:t>.</w:t>
      </w:r>
      <w:r w:rsidR="00241416" w:rsidRPr="009D5E0D">
        <w:rPr>
          <w:rStyle w:val="EndnoteReference"/>
          <w:lang w:val="en-US"/>
        </w:rPr>
        <w:endnoteReference w:id="60"/>
      </w:r>
      <w:r w:rsidR="00677522">
        <w:t xml:space="preserve"> </w:t>
      </w:r>
    </w:p>
    <w:p w14:paraId="7CB1A4E4" w14:textId="047794E8" w:rsidR="003D505D" w:rsidRDefault="000E2F42" w:rsidP="008E626B">
      <w:pPr>
        <w:pStyle w:val="SubmissionNormal"/>
        <w:tabs>
          <w:tab w:val="clear" w:pos="786"/>
        </w:tabs>
        <w:ind w:left="720" w:hanging="720"/>
      </w:pPr>
      <w:r w:rsidRPr="008E626B">
        <w:rPr>
          <w:lang w:val="en-US"/>
        </w:rPr>
        <w:t>Early intervention and prevention</w:t>
      </w:r>
      <w:r w:rsidR="00BD410A" w:rsidRPr="008E626B">
        <w:rPr>
          <w:lang w:val="en-US"/>
        </w:rPr>
        <w:t xml:space="preserve"> initiatives</w:t>
      </w:r>
      <w:r w:rsidRPr="008E626B">
        <w:rPr>
          <w:lang w:val="en-US"/>
        </w:rPr>
        <w:t xml:space="preserve"> are especially important for Aboriginal and Torres Strait Islander </w:t>
      </w:r>
      <w:r w:rsidR="00C04867" w:rsidRPr="008E626B">
        <w:rPr>
          <w:lang w:val="en-US"/>
        </w:rPr>
        <w:t>children and families</w:t>
      </w:r>
      <w:r w:rsidRPr="008E626B">
        <w:rPr>
          <w:lang w:val="en-US"/>
        </w:rPr>
        <w:t xml:space="preserve">. </w:t>
      </w:r>
      <w:r w:rsidR="00384C3B" w:rsidRPr="008E626B">
        <w:rPr>
          <w:rFonts w:cs="Arial"/>
        </w:rPr>
        <w:t>As recently stated by the Special Rapporteur on the Rights of Indigenous Peoples following her count</w:t>
      </w:r>
      <w:r w:rsidR="00E24717" w:rsidRPr="008E626B">
        <w:rPr>
          <w:rFonts w:cs="Arial"/>
        </w:rPr>
        <w:t>ry visit to Australia in 2017: ‘</w:t>
      </w:r>
      <w:r w:rsidR="00384C3B" w:rsidRPr="00F02DF9">
        <w:t>Community-</w:t>
      </w:r>
      <w:r w:rsidR="00384C3B" w:rsidRPr="00F02DF9">
        <w:lastRenderedPageBreak/>
        <w:t xml:space="preserve">led early intervention programmes that invest in families would prevent </w:t>
      </w:r>
      <w:r w:rsidR="002D6CA4" w:rsidRPr="007B7F60">
        <w:t xml:space="preserve">[Indigenous] </w:t>
      </w:r>
      <w:r w:rsidR="00384C3B" w:rsidRPr="005A1050">
        <w:t>children from being in contact with the child prote</w:t>
      </w:r>
      <w:r w:rsidR="00E24717">
        <w:t>ction system in the first place’</w:t>
      </w:r>
      <w:r w:rsidR="00384C3B" w:rsidRPr="005A1050">
        <w:t>.</w:t>
      </w:r>
      <w:r w:rsidR="00384C3B" w:rsidRPr="005A1050">
        <w:rPr>
          <w:rStyle w:val="EndnoteReference"/>
        </w:rPr>
        <w:endnoteReference w:id="61"/>
      </w:r>
    </w:p>
    <w:p w14:paraId="64436622" w14:textId="3F9E0321" w:rsidR="0000140C" w:rsidRPr="008E626B" w:rsidRDefault="00A83EEB" w:rsidP="008E626B">
      <w:pPr>
        <w:pStyle w:val="SubmissionNormal"/>
        <w:tabs>
          <w:tab w:val="clear" w:pos="786"/>
        </w:tabs>
        <w:ind w:left="720" w:hanging="720"/>
      </w:pPr>
      <w:r w:rsidRPr="003D505D">
        <w:t>It is vital that efforts address the structural disadvantage facing Aboriginal and Torres Strait Islander peoples, including the need for healing and trauma informed practices. This must include investment in Aboriginal and Torres Strait Islander child welfare organisations in order to provide a full spectrum of care to Indigenous families.</w:t>
      </w:r>
      <w:r w:rsidRPr="00444578">
        <w:rPr>
          <w:sz w:val="20"/>
          <w:szCs w:val="20"/>
          <w:vertAlign w:val="superscript"/>
        </w:rPr>
        <w:endnoteReference w:id="62"/>
      </w:r>
      <w:r w:rsidR="00C665F5" w:rsidRPr="008E626B">
        <w:rPr>
          <w:sz w:val="20"/>
          <w:szCs w:val="20"/>
        </w:rPr>
        <w:t xml:space="preserve"> </w:t>
      </w:r>
    </w:p>
    <w:p w14:paraId="02365D5A" w14:textId="1BE91F5E" w:rsidR="000E2F42" w:rsidRDefault="00305F61" w:rsidP="008E626B">
      <w:pPr>
        <w:pStyle w:val="SubmissionNormal"/>
        <w:tabs>
          <w:tab w:val="clear" w:pos="786"/>
        </w:tabs>
        <w:ind w:left="720" w:hanging="720"/>
      </w:pPr>
      <w:r>
        <w:t>R</w:t>
      </w:r>
      <w:r w:rsidR="000E2F42">
        <w:t>eforms in other countries</w:t>
      </w:r>
      <w:r w:rsidR="00B53984">
        <w:t xml:space="preserve"> such as the United Kingdom and the United States</w:t>
      </w:r>
      <w:r w:rsidR="000E2F42">
        <w:t xml:space="preserve"> </w:t>
      </w:r>
      <w:r w:rsidR="002801CC">
        <w:t xml:space="preserve">of America </w:t>
      </w:r>
      <w:r w:rsidR="000E2F42">
        <w:t xml:space="preserve">might provide </w:t>
      </w:r>
      <w:r w:rsidR="008C0989">
        <w:t>examples</w:t>
      </w:r>
      <w:r w:rsidR="001F7746">
        <w:t xml:space="preserve"> when considering </w:t>
      </w:r>
      <w:r w:rsidR="00C1388E">
        <w:t xml:space="preserve">further </w:t>
      </w:r>
      <w:r w:rsidR="000E2F42">
        <w:t>measures to reduce the number of children in out-of-home care in Australia.</w:t>
      </w:r>
    </w:p>
    <w:p w14:paraId="0F96A6E8" w14:textId="1647D69B" w:rsidR="00F01ACF" w:rsidRDefault="000E2F42" w:rsidP="004405F9">
      <w:pPr>
        <w:pStyle w:val="SubmissionNormal"/>
        <w:tabs>
          <w:tab w:val="clear" w:pos="786"/>
        </w:tabs>
        <w:spacing w:after="120"/>
        <w:ind w:left="720" w:hanging="720"/>
      </w:pPr>
      <w:r>
        <w:t>For example, the United States has implemented measures to reduce the number of children in out-of-home care and to improve the quality of their c</w:t>
      </w:r>
      <w:r w:rsidR="00C23E6B">
        <w:t xml:space="preserve">are. These include changing </w:t>
      </w:r>
      <w:r>
        <w:t>national model child welfare legislation to reflect principles that specify that</w:t>
      </w:r>
      <w:r w:rsidR="00F01ACF">
        <w:t>:</w:t>
      </w:r>
      <w:r>
        <w:t xml:space="preserve"> </w:t>
      </w:r>
    </w:p>
    <w:p w14:paraId="7B87EADA" w14:textId="77777777" w:rsidR="008E626B" w:rsidRDefault="008E626B" w:rsidP="008E626B">
      <w:pPr>
        <w:pStyle w:val="SubmissionNormal"/>
        <w:numPr>
          <w:ilvl w:val="1"/>
          <w:numId w:val="15"/>
        </w:numPr>
        <w:spacing w:before="120" w:after="120"/>
        <w:ind w:left="1434" w:hanging="357"/>
      </w:pPr>
      <w:r>
        <w:t>the safety of children is the paramount concern that must guide child welfare services</w:t>
      </w:r>
    </w:p>
    <w:p w14:paraId="4EB3C057" w14:textId="77777777" w:rsidR="008E626B" w:rsidRDefault="008E626B" w:rsidP="008E626B">
      <w:pPr>
        <w:pStyle w:val="SubmissionNormal"/>
        <w:numPr>
          <w:ilvl w:val="1"/>
          <w:numId w:val="15"/>
        </w:numPr>
        <w:spacing w:before="120" w:after="120"/>
        <w:ind w:left="1434" w:hanging="357"/>
      </w:pPr>
      <w:r>
        <w:t>foster care is a temporary setting and not a place for children to grow up</w:t>
      </w:r>
    </w:p>
    <w:p w14:paraId="375D7779" w14:textId="77777777" w:rsidR="008E626B" w:rsidRDefault="008E626B" w:rsidP="008E626B">
      <w:pPr>
        <w:pStyle w:val="SubmissionNormal"/>
        <w:numPr>
          <w:ilvl w:val="1"/>
          <w:numId w:val="15"/>
        </w:numPr>
        <w:spacing w:before="120" w:after="120"/>
        <w:ind w:left="1434" w:hanging="357"/>
      </w:pPr>
      <w:r>
        <w:t xml:space="preserve">permanency planning should begin as soon as the child enters the welfare system </w:t>
      </w:r>
    </w:p>
    <w:p w14:paraId="793C2C3E" w14:textId="77777777" w:rsidR="008E626B" w:rsidRDefault="008E626B" w:rsidP="008E626B">
      <w:pPr>
        <w:pStyle w:val="SubmissionNormal"/>
        <w:numPr>
          <w:ilvl w:val="1"/>
          <w:numId w:val="15"/>
        </w:numPr>
        <w:spacing w:before="120" w:after="120"/>
        <w:ind w:left="1434" w:hanging="357"/>
      </w:pPr>
      <w:r>
        <w:t>the child welfare system must focus on results and accountability, and</w:t>
      </w:r>
    </w:p>
    <w:p w14:paraId="3E782BD2" w14:textId="54AC1B19" w:rsidR="008E626B" w:rsidRDefault="008E626B" w:rsidP="008E626B">
      <w:pPr>
        <w:pStyle w:val="SubmissionNormal"/>
        <w:numPr>
          <w:ilvl w:val="1"/>
          <w:numId w:val="15"/>
        </w:numPr>
        <w:spacing w:before="120" w:after="120"/>
        <w:ind w:left="1434" w:hanging="357"/>
      </w:pPr>
      <w:r>
        <w:t>innovative approaches are needed to achieve the goals of safety, permanency and wellbeing.</w:t>
      </w:r>
      <w:r>
        <w:rPr>
          <w:rStyle w:val="EndnoteReference"/>
          <w:lang w:val="en-US"/>
        </w:rPr>
        <w:endnoteReference w:id="63"/>
      </w:r>
      <w:r w:rsidRPr="008E626B">
        <w:rPr>
          <w:lang w:val="en-US"/>
        </w:rPr>
        <w:t xml:space="preserve"> </w:t>
      </w:r>
      <w:r>
        <w:t xml:space="preserve"> </w:t>
      </w:r>
    </w:p>
    <w:p w14:paraId="6DA9FF69" w14:textId="77777777" w:rsidR="00780B78" w:rsidRDefault="0081635A" w:rsidP="004405F9">
      <w:pPr>
        <w:pStyle w:val="SubmissionNormal"/>
        <w:tabs>
          <w:tab w:val="clear" w:pos="786"/>
        </w:tabs>
        <w:spacing w:after="120"/>
        <w:ind w:left="720" w:hanging="720"/>
      </w:pPr>
      <w:r>
        <w:t xml:space="preserve">Between 1998 and 2012 there was a 30% decrease in the number of children in out-of-home care in the United States. </w:t>
      </w:r>
      <w:r w:rsidR="00592C3B">
        <w:t>A</w:t>
      </w:r>
      <w:r w:rsidR="00CD6144">
        <w:t xml:space="preserve"> number of </w:t>
      </w:r>
      <w:r w:rsidR="000E2F42">
        <w:t xml:space="preserve">policy changes </w:t>
      </w:r>
      <w:r w:rsidR="00305F61">
        <w:t xml:space="preserve">contributed to this. </w:t>
      </w:r>
      <w:r w:rsidR="000E2F42">
        <w:t xml:space="preserve">These included: </w:t>
      </w:r>
    </w:p>
    <w:p w14:paraId="7B1A9695" w14:textId="77777777" w:rsidR="00780B78" w:rsidRDefault="00780B78" w:rsidP="00780B78">
      <w:pPr>
        <w:pStyle w:val="SubmissionNormal"/>
        <w:numPr>
          <w:ilvl w:val="1"/>
          <w:numId w:val="15"/>
        </w:numPr>
        <w:spacing w:before="120" w:after="120"/>
        <w:ind w:left="1434" w:hanging="357"/>
      </w:pPr>
      <w:r>
        <w:t>performance-based contracting with non-government organisations which rewarded permanent stable placements, including adoption, achieved outside the care system</w:t>
      </w:r>
    </w:p>
    <w:p w14:paraId="001997D5" w14:textId="77777777" w:rsidR="00780B78" w:rsidRDefault="00780B78" w:rsidP="00780B78">
      <w:pPr>
        <w:pStyle w:val="SubmissionNormal"/>
        <w:numPr>
          <w:ilvl w:val="1"/>
          <w:numId w:val="15"/>
        </w:numPr>
        <w:spacing w:before="120" w:after="120"/>
        <w:ind w:left="1434" w:hanging="357"/>
      </w:pPr>
      <w:r>
        <w:t xml:space="preserve">standardisation of removal criteria, such that a court must be satisfied that every effort has been made to support the birth family to provide effective care to children </w:t>
      </w:r>
    </w:p>
    <w:p w14:paraId="0B3BBC78" w14:textId="77777777" w:rsidR="00780B78" w:rsidRDefault="00780B78" w:rsidP="00780B78">
      <w:pPr>
        <w:pStyle w:val="SubmissionNormal"/>
        <w:numPr>
          <w:ilvl w:val="1"/>
          <w:numId w:val="15"/>
        </w:numPr>
        <w:spacing w:before="120" w:after="120"/>
        <w:ind w:left="1434" w:hanging="357"/>
      </w:pPr>
      <w:r>
        <w:t xml:space="preserve">subsidised adoption and guardianship, and </w:t>
      </w:r>
    </w:p>
    <w:p w14:paraId="4E8020EF" w14:textId="4BD0F93C" w:rsidR="008E626B" w:rsidRDefault="00780B78" w:rsidP="00780B78">
      <w:pPr>
        <w:pStyle w:val="SubmissionNormal"/>
        <w:numPr>
          <w:ilvl w:val="1"/>
          <w:numId w:val="15"/>
        </w:numPr>
        <w:spacing w:before="120" w:after="120"/>
        <w:ind w:left="1434" w:hanging="357"/>
      </w:pPr>
      <w:r>
        <w:t>investment in the therapeutic recovery of children who have been abused or neglected or suffered trauma, including through educational and community connectedness, relationship-</w:t>
      </w:r>
      <w:r w:rsidRPr="00F257A6">
        <w:t>building and life stability.</w:t>
      </w:r>
      <w:r w:rsidRPr="00F257A6">
        <w:rPr>
          <w:rStyle w:val="EndnoteReference"/>
          <w:lang w:val="en-US"/>
        </w:rPr>
        <w:endnoteReference w:id="64"/>
      </w:r>
      <w:r w:rsidRPr="00780B78">
        <w:rPr>
          <w:lang w:val="en-US"/>
        </w:rPr>
        <w:t xml:space="preserve"> </w:t>
      </w:r>
      <w:r w:rsidRPr="00F257A6">
        <w:t xml:space="preserve"> </w:t>
      </w:r>
    </w:p>
    <w:p w14:paraId="69D46FF7" w14:textId="7FF84387" w:rsidR="001403A2" w:rsidRDefault="003D0267" w:rsidP="00BF2DBF">
      <w:pPr>
        <w:pStyle w:val="SubmissionNormal"/>
        <w:tabs>
          <w:tab w:val="clear" w:pos="786"/>
        </w:tabs>
        <w:ind w:left="720" w:hanging="720"/>
      </w:pPr>
      <w:r w:rsidRPr="00F257A6">
        <w:t xml:space="preserve">These reforms are, however, not without their critics. For example, </w:t>
      </w:r>
      <w:r w:rsidR="00C113B1" w:rsidRPr="00F257A6">
        <w:t xml:space="preserve">the Institute </w:t>
      </w:r>
      <w:r w:rsidR="00E6231A" w:rsidRPr="00F257A6">
        <w:t xml:space="preserve">of Open Adoption Studies at the University of Sydney has highlighted the ‘potential pitfalls of overemphasising the goal of increasing adoption numbers’, </w:t>
      </w:r>
      <w:r w:rsidR="00F257A6" w:rsidRPr="00F257A6">
        <w:t xml:space="preserve">noting that reforms in the United States have </w:t>
      </w:r>
      <w:r w:rsidRPr="00F257A6">
        <w:t xml:space="preserve">been criticised for </w:t>
      </w:r>
      <w:r w:rsidR="00F257A6" w:rsidRPr="00F257A6">
        <w:t>‘</w:t>
      </w:r>
      <w:r w:rsidRPr="00F257A6">
        <w:t xml:space="preserve">bias towards termination of parental </w:t>
      </w:r>
      <w:r w:rsidRPr="00F257A6">
        <w:lastRenderedPageBreak/>
        <w:t>rights and adoption over reunification, and timeframes that are not long enough to allow the benefits of support services to take effect for birth parents, who are often disadvantaged in terms of finance, housing, and employment</w:t>
      </w:r>
      <w:r w:rsidR="00F257A6" w:rsidRPr="00F257A6">
        <w:t>’</w:t>
      </w:r>
      <w:r w:rsidRPr="00F257A6">
        <w:t>.</w:t>
      </w:r>
      <w:r w:rsidRPr="00F257A6">
        <w:rPr>
          <w:rStyle w:val="EndnoteReference"/>
        </w:rPr>
        <w:endnoteReference w:id="65"/>
      </w:r>
    </w:p>
    <w:p w14:paraId="724397A3" w14:textId="3A9B714C" w:rsidR="00BF2DBF" w:rsidRDefault="00BF2DBF" w:rsidP="00BF2DBF">
      <w:pPr>
        <w:pStyle w:val="Heading2"/>
        <w:numPr>
          <w:ilvl w:val="1"/>
          <w:numId w:val="16"/>
        </w:numPr>
      </w:pPr>
      <w:bookmarkStart w:id="20" w:name="_Toc516142235"/>
      <w:r>
        <w:t>The importance of stability and permanency</w:t>
      </w:r>
      <w:bookmarkEnd w:id="20"/>
    </w:p>
    <w:p w14:paraId="245935B8" w14:textId="3B19213C" w:rsidR="00DB2D88" w:rsidRDefault="00DB2D88" w:rsidP="00BF2DBF">
      <w:pPr>
        <w:pStyle w:val="SubmissionNormal"/>
        <w:tabs>
          <w:tab w:val="clear" w:pos="786"/>
        </w:tabs>
        <w:ind w:left="720" w:hanging="720"/>
      </w:pPr>
      <w:r>
        <w:t>S</w:t>
      </w:r>
      <w:r w:rsidRPr="00F31835">
        <w:t>tability and permanency are</w:t>
      </w:r>
      <w:r w:rsidR="00323DFE">
        <w:t xml:space="preserve"> critical for children’s optimal development as they grow up. They provide a fundamental platform for </w:t>
      </w:r>
      <w:r w:rsidRPr="00BF2DBF">
        <w:rPr>
          <w:lang w:val="en-US"/>
        </w:rPr>
        <w:t>a child’s health, wellbe</w:t>
      </w:r>
      <w:r w:rsidR="00323DFE" w:rsidRPr="00BF2DBF">
        <w:rPr>
          <w:lang w:val="en-US"/>
        </w:rPr>
        <w:t xml:space="preserve">ing and successful transition </w:t>
      </w:r>
      <w:r w:rsidRPr="00BF2DBF">
        <w:rPr>
          <w:lang w:val="en-US"/>
        </w:rPr>
        <w:t>to adulthood.</w:t>
      </w:r>
      <w:r>
        <w:t xml:space="preserve"> </w:t>
      </w:r>
      <w:r w:rsidRPr="00BF2DBF">
        <w:rPr>
          <w:lang w:val="en"/>
        </w:rPr>
        <w:t>Research suggests that feeling secure and cared for, feeling a sense of belonging, and having a strong sense of personal identity are critical to how well young people fare as adults.</w:t>
      </w:r>
      <w:r>
        <w:rPr>
          <w:rStyle w:val="EndnoteReference"/>
          <w:lang w:val="en"/>
        </w:rPr>
        <w:endnoteReference w:id="66"/>
      </w:r>
      <w:r w:rsidRPr="00BF2DBF">
        <w:rPr>
          <w:lang w:val="en"/>
        </w:rPr>
        <w:t xml:space="preserve"> </w:t>
      </w:r>
      <w:r>
        <w:t xml:space="preserve">Safe and stable environments are particularly important for children </w:t>
      </w:r>
      <w:r w:rsidR="002018AD">
        <w:t>with a history of trauma or</w:t>
      </w:r>
      <w:r w:rsidRPr="00284B7A">
        <w:t xml:space="preserve"> abuse.</w:t>
      </w:r>
      <w:r w:rsidRPr="00284B7A">
        <w:rPr>
          <w:rStyle w:val="EndnoteReference"/>
        </w:rPr>
        <w:endnoteReference w:id="67"/>
      </w:r>
      <w:r w:rsidRPr="00284B7A">
        <w:t xml:space="preserve"> </w:t>
      </w:r>
    </w:p>
    <w:p w14:paraId="56843955" w14:textId="543FF5EB" w:rsidR="0098772E" w:rsidRDefault="00DB2D88" w:rsidP="00BF2DBF">
      <w:pPr>
        <w:pStyle w:val="SubmissionNormal"/>
        <w:tabs>
          <w:tab w:val="clear" w:pos="786"/>
        </w:tabs>
        <w:ind w:left="720" w:hanging="720"/>
      </w:pPr>
      <w:r w:rsidRPr="00284B7A">
        <w:t>Stability and proper attachment with carers</w:t>
      </w:r>
      <w:r w:rsidR="006F5C5B" w:rsidRPr="00284B7A">
        <w:t>, particularly in a child’s first few years of life,</w:t>
      </w:r>
      <w:r w:rsidRPr="00284B7A">
        <w:t xml:space="preserve"> are </w:t>
      </w:r>
      <w:r w:rsidR="00E11F58">
        <w:t>especially</w:t>
      </w:r>
      <w:r w:rsidRPr="00284B7A">
        <w:t xml:space="preserve"> important for a child’s positive development</w:t>
      </w:r>
      <w:r w:rsidR="006F5C5B" w:rsidRPr="00284B7A">
        <w:t>.</w:t>
      </w:r>
      <w:r w:rsidR="00D04B00">
        <w:rPr>
          <w:rStyle w:val="EndnoteReference"/>
        </w:rPr>
        <w:endnoteReference w:id="68"/>
      </w:r>
      <w:r w:rsidR="006F5C5B" w:rsidRPr="00284B7A">
        <w:t xml:space="preserve"> </w:t>
      </w:r>
      <w:r w:rsidR="004F2A29" w:rsidRPr="00284B7A">
        <w:t>Ideally, stability and attachment w</w:t>
      </w:r>
      <w:r w:rsidR="002A23E2">
        <w:t>ould occur in the context of a</w:t>
      </w:r>
      <w:r w:rsidR="004F2A29" w:rsidRPr="00284B7A">
        <w:t xml:space="preserve"> child’s birth family</w:t>
      </w:r>
      <w:r w:rsidR="00D47783" w:rsidRPr="00284B7A">
        <w:t>. W</w:t>
      </w:r>
      <w:r w:rsidR="00E86E39">
        <w:t xml:space="preserve">here it </w:t>
      </w:r>
      <w:r w:rsidR="004940F4" w:rsidRPr="00284B7A">
        <w:t>is not possible or</w:t>
      </w:r>
      <w:r w:rsidR="00DC4254">
        <w:t xml:space="preserve"> not</w:t>
      </w:r>
      <w:r w:rsidR="004940F4" w:rsidRPr="00284B7A">
        <w:t xml:space="preserve"> in the child’s best interests</w:t>
      </w:r>
      <w:r w:rsidR="00E86E39">
        <w:t xml:space="preserve"> for them to remain with their birth family</w:t>
      </w:r>
      <w:r w:rsidR="004940F4" w:rsidRPr="00284B7A">
        <w:t xml:space="preserve">, </w:t>
      </w:r>
      <w:r w:rsidR="00E86E39">
        <w:t xml:space="preserve">stability and attachment with carers </w:t>
      </w:r>
      <w:r w:rsidR="00E11F58">
        <w:t>may</w:t>
      </w:r>
      <w:r w:rsidR="00D47783" w:rsidRPr="00284B7A">
        <w:t xml:space="preserve"> </w:t>
      </w:r>
      <w:r w:rsidR="00E11F58">
        <w:t xml:space="preserve">also </w:t>
      </w:r>
      <w:r w:rsidR="00D47783" w:rsidRPr="00284B7A">
        <w:t xml:space="preserve">be achieved </w:t>
      </w:r>
      <w:r w:rsidR="0098772E" w:rsidRPr="00284B7A">
        <w:t xml:space="preserve">through </w:t>
      </w:r>
      <w:r w:rsidRPr="00284B7A">
        <w:t>permanent arrangement</w:t>
      </w:r>
      <w:r w:rsidR="0098772E" w:rsidRPr="00284B7A">
        <w:t>s</w:t>
      </w:r>
      <w:r w:rsidRPr="00284B7A">
        <w:t xml:space="preserve"> such as </w:t>
      </w:r>
      <w:r w:rsidR="004E7B41" w:rsidRPr="00BF2DBF">
        <w:rPr>
          <w:lang w:val="en-US"/>
        </w:rPr>
        <w:t>guardianship</w:t>
      </w:r>
      <w:r w:rsidR="0098772E" w:rsidRPr="00BF2DBF">
        <w:rPr>
          <w:lang w:val="en-US"/>
        </w:rPr>
        <w:t>, permanent care orders</w:t>
      </w:r>
      <w:r w:rsidRPr="00BF2DBF">
        <w:rPr>
          <w:lang w:val="en-US"/>
        </w:rPr>
        <w:t xml:space="preserve"> or adoption</w:t>
      </w:r>
      <w:r w:rsidR="006D29D2" w:rsidRPr="00BF2DBF">
        <w:rPr>
          <w:lang w:val="en-US"/>
        </w:rPr>
        <w:t>,</w:t>
      </w:r>
      <w:r w:rsidR="004E7B41" w:rsidRPr="00284B7A">
        <w:t xml:space="preserve"> or</w:t>
      </w:r>
      <w:r w:rsidR="0098772E" w:rsidRPr="00284B7A">
        <w:t xml:space="preserve"> through</w:t>
      </w:r>
      <w:r w:rsidR="004E7B41" w:rsidRPr="00284B7A">
        <w:t xml:space="preserve"> long-term</w:t>
      </w:r>
      <w:r w:rsidR="006D29D2" w:rsidRPr="00284B7A">
        <w:t xml:space="preserve"> </w:t>
      </w:r>
      <w:r w:rsidR="004E7B41" w:rsidRPr="00284B7A">
        <w:t>kinship care or foster care with the same carer/s.</w:t>
      </w:r>
    </w:p>
    <w:p w14:paraId="05922DB3" w14:textId="5753D791" w:rsidR="00704E3F" w:rsidRDefault="008E486D" w:rsidP="0039653E">
      <w:pPr>
        <w:pStyle w:val="SubmissionNormal"/>
        <w:tabs>
          <w:tab w:val="clear" w:pos="786"/>
        </w:tabs>
        <w:ind w:left="720" w:hanging="720"/>
      </w:pPr>
      <w:r w:rsidRPr="008E486D">
        <w:t xml:space="preserve">Having said this, the Commission also acknowledges that research emphasises that a focus on dyadic attachments between a child and a single set of carers is not necessarily appropriate for all children and that it is important to consider </w:t>
      </w:r>
      <w:r w:rsidRPr="00704E3F">
        <w:t>the possibility of multiple attachments.</w:t>
      </w:r>
      <w:r w:rsidRPr="008E486D">
        <w:rPr>
          <w:rStyle w:val="EndnoteReference"/>
          <w:rFonts w:cs="Arial"/>
        </w:rPr>
        <w:endnoteReference w:id="69"/>
      </w:r>
      <w:r w:rsidRPr="008E486D">
        <w:t xml:space="preserve"> </w:t>
      </w:r>
    </w:p>
    <w:p w14:paraId="02EA0680" w14:textId="43E1D10E" w:rsidR="002A23E2" w:rsidRPr="0039653E" w:rsidRDefault="008E486D" w:rsidP="0039653E">
      <w:pPr>
        <w:pStyle w:val="SubmissionNormal"/>
        <w:tabs>
          <w:tab w:val="clear" w:pos="786"/>
        </w:tabs>
        <w:ind w:left="720" w:hanging="720"/>
      </w:pPr>
      <w:r w:rsidRPr="008E486D">
        <w:t>This is particularly the case for Aboriginal and Torres Strait Islander children,</w:t>
      </w:r>
      <w:r w:rsidRPr="008E486D">
        <w:rPr>
          <w:rStyle w:val="EndnoteReference"/>
          <w:rFonts w:cs="Arial"/>
        </w:rPr>
        <w:endnoteReference w:id="70"/>
      </w:r>
      <w:r w:rsidRPr="008E486D">
        <w:t xml:space="preserve"> where </w:t>
      </w:r>
      <w:r w:rsidRPr="00704E3F">
        <w:t>permanence and stability can also be drawn from a broader communal sense of belonging that spans extensive family networks wher</w:t>
      </w:r>
      <w:r w:rsidRPr="00C04AF9">
        <w:t xml:space="preserve">e children are a part of a system of care which is the basis for their identity, culture and </w:t>
      </w:r>
      <w:r w:rsidRPr="005A1050">
        <w:t>spirituality.</w:t>
      </w:r>
      <w:r w:rsidRPr="005A1050">
        <w:rPr>
          <w:rStyle w:val="EndnoteReference"/>
          <w:rFonts w:cs="Arial"/>
        </w:rPr>
        <w:endnoteReference w:id="71"/>
      </w:r>
      <w:r w:rsidR="00F56EC6" w:rsidRPr="005A1050">
        <w:t xml:space="preserve"> </w:t>
      </w:r>
      <w:r w:rsidR="00F56EC6" w:rsidRPr="0039653E">
        <w:rPr>
          <w:color w:val="000000"/>
        </w:rPr>
        <w:t>When assessing the best interests of the Indigenous child, t</w:t>
      </w:r>
      <w:r w:rsidR="00F56EC6" w:rsidRPr="007B7F60">
        <w:t xml:space="preserve">he </w:t>
      </w:r>
      <w:r w:rsidR="00450F52">
        <w:t>UN</w:t>
      </w:r>
      <w:r w:rsidR="00792046">
        <w:t xml:space="preserve"> </w:t>
      </w:r>
      <w:r w:rsidR="00F56EC6" w:rsidRPr="007B7F60">
        <w:t xml:space="preserve">Committee on the Rights of the Child </w:t>
      </w:r>
      <w:r w:rsidR="00F56EC6" w:rsidRPr="0039653E">
        <w:rPr>
          <w:color w:val="000000"/>
        </w:rPr>
        <w:t xml:space="preserve">has also noted the importance of considering the cultural rights of the Indigenous child and </w:t>
      </w:r>
      <w:r w:rsidR="004F0598">
        <w:rPr>
          <w:color w:val="000000"/>
        </w:rPr>
        <w:t>their</w:t>
      </w:r>
      <w:r w:rsidR="00F56EC6" w:rsidRPr="0039653E">
        <w:rPr>
          <w:color w:val="000000"/>
        </w:rPr>
        <w:t xml:space="preserve"> need to exercise such rights collectively with members of their group.</w:t>
      </w:r>
      <w:r w:rsidR="00F56EC6" w:rsidRPr="005A1050">
        <w:rPr>
          <w:rStyle w:val="EndnoteReference"/>
          <w:lang w:val="en"/>
        </w:rPr>
        <w:endnoteReference w:id="72"/>
      </w:r>
    </w:p>
    <w:p w14:paraId="7222157C" w14:textId="66AF5649" w:rsidR="00A85A75" w:rsidRDefault="008E486D" w:rsidP="0039653E">
      <w:pPr>
        <w:pStyle w:val="SubmissionNormal"/>
        <w:tabs>
          <w:tab w:val="clear" w:pos="786"/>
        </w:tabs>
        <w:ind w:left="720" w:hanging="720"/>
      </w:pPr>
      <w:r w:rsidRPr="002A23E2">
        <w:t xml:space="preserve">This more expansive definition demonstrates that </w:t>
      </w:r>
      <w:r w:rsidR="00C171F0">
        <w:t xml:space="preserve">the socio-structural pattern of </w:t>
      </w:r>
      <w:r w:rsidRPr="002A23E2">
        <w:t>attachment is not universal across cultures and also allows for attachment with multiple caregivers such as grandparents, and other relatives and caregivers.</w:t>
      </w:r>
      <w:r w:rsidRPr="008E486D">
        <w:rPr>
          <w:rStyle w:val="EndnoteReference"/>
          <w:rFonts w:cs="Arial"/>
        </w:rPr>
        <w:endnoteReference w:id="73"/>
      </w:r>
      <w:r w:rsidRPr="002A23E2">
        <w:t xml:space="preserve"> </w:t>
      </w:r>
    </w:p>
    <w:p w14:paraId="65CE3500" w14:textId="5F516A9A" w:rsidR="00DB2D88" w:rsidRDefault="00DB2D88" w:rsidP="0039653E">
      <w:pPr>
        <w:pStyle w:val="SubmissionNormal"/>
        <w:tabs>
          <w:tab w:val="clear" w:pos="786"/>
        </w:tabs>
        <w:ind w:left="720" w:hanging="720"/>
      </w:pPr>
      <w:r>
        <w:t xml:space="preserve">The UN Committee on the Rights of the Child has encouraged state parties to </w:t>
      </w:r>
      <w:r w:rsidRPr="00293FE5">
        <w:t>invest in and support forms of alternative care that can ensure security, continuity of care and affection, and the opportunity for young children to form long-term attachments based on mutual trust and respect, for example through fostering, adoption and support for members of extended families.</w:t>
      </w:r>
      <w:r>
        <w:rPr>
          <w:rStyle w:val="EndnoteReference"/>
        </w:rPr>
        <w:endnoteReference w:id="74"/>
      </w:r>
    </w:p>
    <w:p w14:paraId="32D42D7F" w14:textId="373E93C3" w:rsidR="00DB2D88" w:rsidRPr="0039653E" w:rsidRDefault="00DB2D88" w:rsidP="0039653E">
      <w:pPr>
        <w:pStyle w:val="SubmissionNormal"/>
        <w:tabs>
          <w:tab w:val="clear" w:pos="786"/>
        </w:tabs>
        <w:ind w:left="720" w:hanging="720"/>
      </w:pPr>
      <w:r w:rsidRPr="00844EE4">
        <w:lastRenderedPageBreak/>
        <w:t>The Committee has also emphasised that</w:t>
      </w:r>
      <w:r w:rsidR="00A041B4">
        <w:t>,</w:t>
      </w:r>
      <w:r w:rsidRPr="00844EE4">
        <w:t xml:space="preserve"> when assessing the best interests of the child, state parties should consider the care and protection necessary for their wellbeing. This includes emotional care, a basic need of children. The Committee has stated: ‘If</w:t>
      </w:r>
      <w:r w:rsidRPr="0039653E">
        <w:rPr>
          <w:rFonts w:cs="Arial"/>
        </w:rPr>
        <w:t xml:space="preserve"> parents or other primary caregivers do not fulfil the child’s emotional needs, action must be taken so that the child develops a secure attachment. Children need to form an attachment to a caregiver at a very early age, and such attachment, if adequate, must be sustained over time in order to provide the child with a stable environment.’</w:t>
      </w:r>
      <w:r w:rsidRPr="00844EE4">
        <w:rPr>
          <w:rStyle w:val="EndnoteReference"/>
          <w:rFonts w:cs="Arial"/>
        </w:rPr>
        <w:endnoteReference w:id="75"/>
      </w:r>
    </w:p>
    <w:p w14:paraId="52145975" w14:textId="08030FA4" w:rsidR="00DB2D88" w:rsidRPr="0039653E" w:rsidRDefault="00DC0C60" w:rsidP="0039653E">
      <w:pPr>
        <w:pStyle w:val="SubmissionNormal"/>
        <w:tabs>
          <w:tab w:val="clear" w:pos="786"/>
        </w:tabs>
        <w:ind w:left="720" w:hanging="720"/>
      </w:pPr>
      <w:r>
        <w:t xml:space="preserve">In Australia, some </w:t>
      </w:r>
      <w:r w:rsidR="00897D38">
        <w:t xml:space="preserve">children in </w:t>
      </w:r>
      <w:r w:rsidR="00E10ECA">
        <w:t xml:space="preserve">the </w:t>
      </w:r>
      <w:r w:rsidR="00897D38">
        <w:t xml:space="preserve">out-of-home care </w:t>
      </w:r>
      <w:r w:rsidR="00E10ECA">
        <w:t xml:space="preserve">system do not </w:t>
      </w:r>
      <w:r w:rsidR="006F1B57">
        <w:t xml:space="preserve">experience stable </w:t>
      </w:r>
      <w:r w:rsidR="009646FB">
        <w:t xml:space="preserve">or permanent </w:t>
      </w:r>
      <w:r w:rsidR="00511DFD">
        <w:t xml:space="preserve">care. </w:t>
      </w:r>
      <w:r w:rsidR="00A51242">
        <w:t xml:space="preserve">Children </w:t>
      </w:r>
      <w:r w:rsidR="00A51242" w:rsidRPr="0039653E">
        <w:rPr>
          <w:lang w:val="en"/>
        </w:rPr>
        <w:t>often experience multiple placements.</w:t>
      </w:r>
      <w:r w:rsidR="00A51242">
        <w:rPr>
          <w:rStyle w:val="EndnoteReference"/>
          <w:lang w:val="en"/>
        </w:rPr>
        <w:endnoteReference w:id="76"/>
      </w:r>
      <w:r w:rsidR="00DB0AC9" w:rsidRPr="0039653E">
        <w:rPr>
          <w:lang w:val="en"/>
        </w:rPr>
        <w:t xml:space="preserve"> </w:t>
      </w:r>
      <w:r w:rsidR="00946458">
        <w:t>Instability</w:t>
      </w:r>
      <w:r w:rsidR="00A51242">
        <w:t xml:space="preserve"> of care</w:t>
      </w:r>
      <w:r w:rsidR="00706F57">
        <w:t xml:space="preserve"> can </w:t>
      </w:r>
      <w:r w:rsidR="00211665">
        <w:t xml:space="preserve">exacerbate trauma and </w:t>
      </w:r>
      <w:r w:rsidR="00706F57">
        <w:t>inhibit</w:t>
      </w:r>
      <w:r w:rsidR="00A51242">
        <w:t xml:space="preserve"> young people’s ability to form secure, safe attachments</w:t>
      </w:r>
      <w:r w:rsidR="00511DFD">
        <w:t>.</w:t>
      </w:r>
      <w:r w:rsidR="00511DFD">
        <w:rPr>
          <w:rStyle w:val="EndnoteReference"/>
          <w:lang w:val="en-US"/>
        </w:rPr>
        <w:endnoteReference w:id="77"/>
      </w:r>
      <w:r w:rsidR="00511DFD" w:rsidRPr="0039653E">
        <w:rPr>
          <w:lang w:val="en-US"/>
        </w:rPr>
        <w:t xml:space="preserve"> </w:t>
      </w:r>
      <w:r w:rsidR="00946458" w:rsidRPr="0039653E">
        <w:rPr>
          <w:lang w:val="en-US"/>
        </w:rPr>
        <w:t>Improving</w:t>
      </w:r>
      <w:r w:rsidR="00DB2D88" w:rsidRPr="0039653E">
        <w:rPr>
          <w:lang w:val="en-US"/>
        </w:rPr>
        <w:t xml:space="preserve"> placement stability is among the key reforms needed to improve outcomes for young people leaving the out-of-home care system.</w:t>
      </w:r>
      <w:r w:rsidR="002B3E4F" w:rsidRPr="0039653E">
        <w:rPr>
          <w:lang w:val="en-US"/>
        </w:rPr>
        <w:t xml:space="preserve"> </w:t>
      </w:r>
      <w:r w:rsidR="00DB2D88" w:rsidRPr="0039653E">
        <w:rPr>
          <w:lang w:val="en-US"/>
        </w:rPr>
        <w:t xml:space="preserve">According to the Australian Institute of Family Studies, </w:t>
      </w:r>
      <w:r w:rsidR="00DB2D88" w:rsidRPr="0039653E">
        <w:rPr>
          <w:lang w:val="en"/>
        </w:rPr>
        <w:t>research has consistently suggested that stability of care and emotional security are significant predictors of young people’s outcomes after leaving care, with placement stability identified as a key element associated with positive outcomes on leaving care.</w:t>
      </w:r>
      <w:r w:rsidR="00DB2D88">
        <w:rPr>
          <w:rStyle w:val="EndnoteReference"/>
          <w:lang w:val="en"/>
        </w:rPr>
        <w:endnoteReference w:id="78"/>
      </w:r>
      <w:r w:rsidR="00DB2D88" w:rsidRPr="0039653E">
        <w:rPr>
          <w:lang w:val="en"/>
        </w:rPr>
        <w:t xml:space="preserve"> </w:t>
      </w:r>
    </w:p>
    <w:p w14:paraId="50C2C368" w14:textId="776288D8" w:rsidR="00E20A0B" w:rsidRPr="0039653E" w:rsidRDefault="00DB2D88" w:rsidP="0039653E">
      <w:pPr>
        <w:pStyle w:val="SubmissionNormal"/>
        <w:tabs>
          <w:tab w:val="clear" w:pos="786"/>
        </w:tabs>
        <w:ind w:left="720" w:hanging="720"/>
      </w:pPr>
      <w:r w:rsidRPr="0039653E">
        <w:rPr>
          <w:lang w:val="en-US"/>
        </w:rPr>
        <w:t xml:space="preserve">Improving the quality of out-of-home care and outcomes for care leavers are </w:t>
      </w:r>
      <w:r w:rsidR="002C3258" w:rsidRPr="0039653E">
        <w:rPr>
          <w:lang w:val="en-US"/>
        </w:rPr>
        <w:t xml:space="preserve">priorities under </w:t>
      </w:r>
      <w:r w:rsidRPr="0039653E">
        <w:rPr>
          <w:lang w:val="en-US"/>
        </w:rPr>
        <w:t xml:space="preserve">the National Framework for </w:t>
      </w:r>
      <w:r w:rsidR="00515267" w:rsidRPr="0039653E">
        <w:rPr>
          <w:lang w:val="en-US"/>
        </w:rPr>
        <w:t>Protecting Australia's Children</w:t>
      </w:r>
      <w:r w:rsidRPr="0039653E">
        <w:rPr>
          <w:lang w:val="en-US"/>
        </w:rPr>
        <w:t>.</w:t>
      </w:r>
      <w:r>
        <w:rPr>
          <w:rStyle w:val="EndnoteReference"/>
          <w:lang w:val="en-US"/>
        </w:rPr>
        <w:endnoteReference w:id="79"/>
      </w:r>
      <w:r w:rsidRPr="0039653E">
        <w:rPr>
          <w:lang w:val="en-US"/>
        </w:rPr>
        <w:t xml:space="preserve"> The National Framework states that: </w:t>
      </w:r>
    </w:p>
    <w:p w14:paraId="1A28BFEE" w14:textId="11EF9DCF" w:rsidR="0039653E" w:rsidRPr="00D70791" w:rsidRDefault="0039653E" w:rsidP="00D70791">
      <w:pPr>
        <w:ind w:left="1440"/>
        <w:rPr>
          <w:sz w:val="22"/>
          <w:szCs w:val="22"/>
        </w:rPr>
      </w:pPr>
      <w:r w:rsidRPr="0039653E">
        <w:rPr>
          <w:sz w:val="22"/>
          <w:szCs w:val="22"/>
        </w:rPr>
        <w:t>Out-of-home care is viewed as an intervention of last resort, and the preference is always for children to be reunited with their natural parents if possible. Many children can be safely reunited with their families when their families receive appropriate supports and interventions. Research highlights the need for children to have stable and secure placements, whether that be with their natural parents or in out-of-home care. The quality of relationships with carers is also critical. A sense of security, stability, continuity and social support are strong predictors of better outcomes for young people’s long-term outcomes after leaving care.</w:t>
      </w:r>
      <w:r w:rsidRPr="005B79EE">
        <w:rPr>
          <w:rStyle w:val="EndnoteReference"/>
          <w:rFonts w:cs="Arial"/>
          <w:szCs w:val="20"/>
        </w:rPr>
        <w:endnoteReference w:id="80"/>
      </w:r>
    </w:p>
    <w:p w14:paraId="23ADB106" w14:textId="4B698593" w:rsidR="003701B7" w:rsidRPr="00D70791" w:rsidRDefault="00104361" w:rsidP="00D70791">
      <w:pPr>
        <w:pStyle w:val="SubmissionNormal"/>
        <w:tabs>
          <w:tab w:val="clear" w:pos="786"/>
        </w:tabs>
        <w:ind w:left="720" w:hanging="720"/>
      </w:pPr>
      <w:r w:rsidRPr="00D70791">
        <w:rPr>
          <w:lang w:val="en-US"/>
        </w:rPr>
        <w:t xml:space="preserve">Under the 2011 </w:t>
      </w:r>
      <w:r w:rsidR="00DB2D88" w:rsidRPr="00D70791">
        <w:rPr>
          <w:lang w:val="en-US"/>
        </w:rPr>
        <w:t>National S</w:t>
      </w:r>
      <w:r w:rsidR="002C3258" w:rsidRPr="00D70791">
        <w:rPr>
          <w:lang w:val="en-US"/>
        </w:rPr>
        <w:t>tandards for out-of-home c</w:t>
      </w:r>
      <w:r w:rsidR="003900D1" w:rsidRPr="00D70791">
        <w:rPr>
          <w:lang w:val="en-US"/>
        </w:rPr>
        <w:t>are, s</w:t>
      </w:r>
      <w:r w:rsidR="00DB2D88" w:rsidRPr="00D70791">
        <w:rPr>
          <w:lang w:val="en-US"/>
        </w:rPr>
        <w:t xml:space="preserve">tandard 1 </w:t>
      </w:r>
      <w:r w:rsidR="003900D1" w:rsidRPr="00D70791">
        <w:rPr>
          <w:lang w:val="en-US"/>
        </w:rPr>
        <w:t xml:space="preserve">indicates that: ‘Children </w:t>
      </w:r>
      <w:r w:rsidR="001C6112" w:rsidRPr="00D70791">
        <w:rPr>
          <w:lang w:val="en-US"/>
        </w:rPr>
        <w:t xml:space="preserve">and young people </w:t>
      </w:r>
      <w:r w:rsidR="002C3258" w:rsidRPr="00D70791">
        <w:rPr>
          <w:lang w:val="en-US"/>
        </w:rPr>
        <w:t xml:space="preserve">will </w:t>
      </w:r>
      <w:r w:rsidR="00DB2D88" w:rsidRPr="00D70791">
        <w:rPr>
          <w:lang w:val="en-US"/>
        </w:rPr>
        <w:t xml:space="preserve">be provided with </w:t>
      </w:r>
      <w:r w:rsidR="00DB2D88" w:rsidRPr="00D70791">
        <w:rPr>
          <w:lang w:val="en"/>
        </w:rPr>
        <w:t>stability and security in care</w:t>
      </w:r>
      <w:r w:rsidR="003900D1" w:rsidRPr="00D70791">
        <w:rPr>
          <w:lang w:val="en"/>
        </w:rPr>
        <w:t>’</w:t>
      </w:r>
      <w:r w:rsidR="00DB2D88" w:rsidRPr="00D70791">
        <w:rPr>
          <w:lang w:val="en"/>
        </w:rPr>
        <w:t>.</w:t>
      </w:r>
      <w:r w:rsidR="002C3258" w:rsidRPr="00D70791">
        <w:rPr>
          <w:lang w:val="en"/>
        </w:rPr>
        <w:t xml:space="preserve"> </w:t>
      </w:r>
      <w:r w:rsidR="00C65962" w:rsidRPr="00D70791">
        <w:rPr>
          <w:lang w:val="en"/>
        </w:rPr>
        <w:t>T</w:t>
      </w:r>
      <w:r w:rsidR="00DB2D88" w:rsidRPr="00D70791">
        <w:rPr>
          <w:lang w:val="en"/>
        </w:rPr>
        <w:t xml:space="preserve">his means that children in out-of-home care are to </w:t>
      </w:r>
      <w:r w:rsidR="00606FE8" w:rsidRPr="00D70791">
        <w:rPr>
          <w:lang w:val="en"/>
        </w:rPr>
        <w:t>‘</w:t>
      </w:r>
      <w:r w:rsidR="00DB2D88" w:rsidRPr="00D70791">
        <w:rPr>
          <w:lang w:val="en"/>
        </w:rPr>
        <w:t>experience security, stability, continuity of relationships and social support</w:t>
      </w:r>
      <w:r w:rsidR="002C3258" w:rsidRPr="00D70791">
        <w:rPr>
          <w:lang w:val="en"/>
        </w:rPr>
        <w:t>’</w:t>
      </w:r>
      <w:r w:rsidR="00DB2D88" w:rsidRPr="00D70791">
        <w:rPr>
          <w:lang w:val="en"/>
        </w:rPr>
        <w:t xml:space="preserve">, which are </w:t>
      </w:r>
      <w:r w:rsidR="002C3258" w:rsidRPr="00D70791">
        <w:rPr>
          <w:lang w:val="en"/>
        </w:rPr>
        <w:t>‘</w:t>
      </w:r>
      <w:r w:rsidR="00DB2D88" w:rsidRPr="00D70791">
        <w:rPr>
          <w:lang w:val="en"/>
        </w:rPr>
        <w:t>vital to healthy emotional development</w:t>
      </w:r>
      <w:r w:rsidR="002C3258" w:rsidRPr="00D70791">
        <w:rPr>
          <w:lang w:val="en"/>
        </w:rPr>
        <w:t>’</w:t>
      </w:r>
      <w:r w:rsidR="00DB2D88" w:rsidRPr="00D70791">
        <w:rPr>
          <w:lang w:val="en"/>
        </w:rPr>
        <w:t xml:space="preserve"> and </w:t>
      </w:r>
      <w:r w:rsidR="002C3258" w:rsidRPr="00D70791">
        <w:rPr>
          <w:lang w:val="en"/>
        </w:rPr>
        <w:t xml:space="preserve">‘provide strong predictors of better outcomes for children’. Children are to be ‘matched with the </w:t>
      </w:r>
      <w:r w:rsidR="00E4743B" w:rsidRPr="002C3258">
        <w:t>most suitable carers an</w:t>
      </w:r>
      <w:r w:rsidR="002C3258" w:rsidRPr="002C3258">
        <w:t xml:space="preserve">d the care environment according </w:t>
      </w:r>
      <w:r w:rsidR="00E4743B" w:rsidRPr="002C3258">
        <w:t>t</w:t>
      </w:r>
      <w:r w:rsidR="002C3258" w:rsidRPr="002C3258">
        <w:t>o their assessed needs’</w:t>
      </w:r>
      <w:r w:rsidR="002C3258" w:rsidRPr="00D70791">
        <w:rPr>
          <w:rFonts w:ascii="TheSans-B3Light" w:hAnsi="TheSans-B3Light" w:cs="TheSans-B3Light"/>
          <w:sz w:val="18"/>
          <w:szCs w:val="18"/>
        </w:rPr>
        <w:t>.</w:t>
      </w:r>
      <w:r w:rsidR="002C3258" w:rsidRPr="00D70791">
        <w:rPr>
          <w:rStyle w:val="EndnoteReference"/>
          <w:lang w:val="en"/>
        </w:rPr>
        <w:t xml:space="preserve"> </w:t>
      </w:r>
      <w:r w:rsidR="002C3258">
        <w:rPr>
          <w:rStyle w:val="EndnoteReference"/>
          <w:lang w:val="en"/>
        </w:rPr>
        <w:endnoteReference w:id="81"/>
      </w:r>
      <w:r w:rsidR="00C14970" w:rsidRPr="00D70791">
        <w:rPr>
          <w:lang w:val="en"/>
        </w:rPr>
        <w:t xml:space="preserve"> </w:t>
      </w:r>
    </w:p>
    <w:p w14:paraId="2A3630E5" w14:textId="083A9B46" w:rsidR="00D70791" w:rsidRDefault="00D70791" w:rsidP="00D70791">
      <w:pPr>
        <w:pStyle w:val="Heading1"/>
        <w:numPr>
          <w:ilvl w:val="0"/>
          <w:numId w:val="16"/>
        </w:numPr>
        <w:rPr>
          <w:lang w:val="en"/>
        </w:rPr>
      </w:pPr>
      <w:bookmarkStart w:id="21" w:name="_Toc516142236"/>
      <w:r>
        <w:rPr>
          <w:lang w:val="en"/>
        </w:rPr>
        <w:t>Adoptions within Australia</w:t>
      </w:r>
      <w:bookmarkEnd w:id="21"/>
    </w:p>
    <w:p w14:paraId="4B637F15" w14:textId="401BADCC" w:rsidR="00D70791" w:rsidRPr="00D70791" w:rsidRDefault="00D70791" w:rsidP="00D70791">
      <w:pPr>
        <w:pStyle w:val="Heading2"/>
        <w:numPr>
          <w:ilvl w:val="1"/>
          <w:numId w:val="16"/>
        </w:numPr>
      </w:pPr>
      <w:bookmarkStart w:id="22" w:name="_Toc516142237"/>
      <w:r>
        <w:t>Number of adoptions within Australia</w:t>
      </w:r>
      <w:bookmarkEnd w:id="22"/>
    </w:p>
    <w:p w14:paraId="1CCF7DFD" w14:textId="71569036" w:rsidR="0052518A" w:rsidRDefault="0052518A" w:rsidP="008C4928">
      <w:pPr>
        <w:pStyle w:val="SubmissionNormal"/>
        <w:tabs>
          <w:tab w:val="clear" w:pos="786"/>
        </w:tabs>
        <w:spacing w:after="120"/>
        <w:ind w:left="720" w:hanging="720"/>
      </w:pPr>
      <w:r>
        <w:t>For adoptions relating to children who were born or permanently reside</w:t>
      </w:r>
      <w:r w:rsidR="004C7D50">
        <w:t>d</w:t>
      </w:r>
      <w:r>
        <w:t xml:space="preserve"> in Australia before adoption, the Australian Institute of Health and Welfare distinguishes between: </w:t>
      </w:r>
    </w:p>
    <w:p w14:paraId="355834B9" w14:textId="77777777" w:rsidR="00D70791" w:rsidRPr="0052518A" w:rsidRDefault="00D70791" w:rsidP="00D70791">
      <w:pPr>
        <w:pStyle w:val="SubmissionNormal"/>
        <w:numPr>
          <w:ilvl w:val="1"/>
          <w:numId w:val="15"/>
        </w:numPr>
        <w:spacing w:before="120" w:after="120"/>
        <w:ind w:left="1434" w:hanging="357"/>
      </w:pPr>
      <w:r w:rsidRPr="0052518A">
        <w:rPr>
          <w:rFonts w:cs="Arial"/>
          <w:bCs/>
        </w:rPr>
        <w:lastRenderedPageBreak/>
        <w:t>the adoption of children</w:t>
      </w:r>
      <w:r w:rsidRPr="0052518A">
        <w:rPr>
          <w:rFonts w:cs="Arial"/>
        </w:rPr>
        <w:t xml:space="preserve"> who have a pre-existing relationship with the ado</w:t>
      </w:r>
      <w:r>
        <w:rPr>
          <w:rFonts w:cs="Arial"/>
        </w:rPr>
        <w:t>ptive parent/s</w:t>
      </w:r>
      <w:r w:rsidRPr="0052518A">
        <w:rPr>
          <w:rFonts w:cs="Arial"/>
        </w:rPr>
        <w:t xml:space="preserve"> and who are generally not able to be adopted by anyone other than the </w:t>
      </w:r>
      <w:r>
        <w:rPr>
          <w:rFonts w:cs="Arial"/>
        </w:rPr>
        <w:t xml:space="preserve">adoptive parent/s (‘known child adoption’), </w:t>
      </w:r>
      <w:r w:rsidRPr="009A4E7B">
        <w:rPr>
          <w:rFonts w:cs="Arial"/>
        </w:rPr>
        <w:t>and</w:t>
      </w:r>
    </w:p>
    <w:p w14:paraId="6C9E0D28" w14:textId="1D8A4BFF" w:rsidR="00D70791" w:rsidRDefault="00D70791" w:rsidP="00D70791">
      <w:pPr>
        <w:pStyle w:val="SubmissionNormal"/>
        <w:numPr>
          <w:ilvl w:val="1"/>
          <w:numId w:val="15"/>
        </w:numPr>
        <w:spacing w:before="120" w:after="120"/>
        <w:ind w:left="1434" w:hanging="357"/>
      </w:pPr>
      <w:r w:rsidRPr="0052518A">
        <w:rPr>
          <w:rFonts w:cs="Arial"/>
        </w:rPr>
        <w:t xml:space="preserve">the adoption of </w:t>
      </w:r>
      <w:r>
        <w:rPr>
          <w:rFonts w:cs="Arial"/>
        </w:rPr>
        <w:t xml:space="preserve">children </w:t>
      </w:r>
      <w:r w:rsidRPr="0052518A">
        <w:rPr>
          <w:rFonts w:cs="Arial"/>
        </w:rPr>
        <w:t>who are legally able to be placed for adoption but who generally have had no previous contact or relation</w:t>
      </w:r>
      <w:r>
        <w:rPr>
          <w:rFonts w:cs="Arial"/>
        </w:rPr>
        <w:t>ship with the adoptive parent/s (‘local adoption’)</w:t>
      </w:r>
      <w:r w:rsidRPr="0052518A">
        <w:rPr>
          <w:rFonts w:cs="Arial"/>
        </w:rPr>
        <w:t>.</w:t>
      </w:r>
      <w:r>
        <w:rPr>
          <w:rStyle w:val="EndnoteReference"/>
          <w:rFonts w:cs="Arial"/>
        </w:rPr>
        <w:endnoteReference w:id="82"/>
      </w:r>
    </w:p>
    <w:p w14:paraId="6609D5CE" w14:textId="0C41AF92" w:rsidR="00301CBB" w:rsidRDefault="0052518A" w:rsidP="007000AE">
      <w:pPr>
        <w:pStyle w:val="SubmissionNormal"/>
        <w:tabs>
          <w:tab w:val="clear" w:pos="786"/>
        </w:tabs>
        <w:ind w:left="720" w:hanging="720"/>
      </w:pPr>
      <w:r w:rsidRPr="00301CBB">
        <w:t>According to the Australian Institute of Health and Welfare, in</w:t>
      </w:r>
      <w:r w:rsidR="002B2ED6" w:rsidRPr="00301CBB">
        <w:t xml:space="preserve"> 2016-</w:t>
      </w:r>
      <w:r w:rsidRPr="00301CBB">
        <w:t>2017 there were 315 child adoptions</w:t>
      </w:r>
      <w:r w:rsidR="003163DA" w:rsidRPr="00301CBB">
        <w:t xml:space="preserve"> finalised</w:t>
      </w:r>
      <w:r w:rsidR="002B2ED6" w:rsidRPr="00301CBB">
        <w:t xml:space="preserve"> in Australia</w:t>
      </w:r>
      <w:r w:rsidRPr="00301CBB">
        <w:t>.</w:t>
      </w:r>
      <w:r w:rsidR="00323658" w:rsidRPr="00301CBB">
        <w:rPr>
          <w:rStyle w:val="EndnoteReference"/>
          <w:rFonts w:cs="Arial"/>
          <w:bCs/>
        </w:rPr>
        <w:endnoteReference w:id="83"/>
      </w:r>
      <w:r w:rsidR="00323658" w:rsidRPr="00301CBB">
        <w:t xml:space="preserve"> </w:t>
      </w:r>
      <w:r w:rsidRPr="00AE0999">
        <w:t>Of the</w:t>
      </w:r>
      <w:r w:rsidR="00AE0999" w:rsidRPr="00AE0999">
        <w:t xml:space="preserve">se, </w:t>
      </w:r>
      <w:r w:rsidR="007A610F" w:rsidRPr="00AE0999">
        <w:t>69 were adoptions from overseas and 246 w</w:t>
      </w:r>
      <w:r w:rsidR="003163DA" w:rsidRPr="00AE0999">
        <w:t xml:space="preserve">ere adoptions within Australia – including </w:t>
      </w:r>
      <w:r w:rsidR="007A610F" w:rsidRPr="00AE0999">
        <w:t>204</w:t>
      </w:r>
      <w:r w:rsidRPr="00AE0999">
        <w:t xml:space="preserve"> known child adoptions</w:t>
      </w:r>
      <w:r w:rsidR="007A610F" w:rsidRPr="00AE0999">
        <w:t xml:space="preserve"> </w:t>
      </w:r>
      <w:r w:rsidRPr="00AE0999">
        <w:t>and 42 local adoptions.</w:t>
      </w:r>
      <w:r w:rsidR="007A610F">
        <w:rPr>
          <w:rStyle w:val="EndnoteReference"/>
          <w:rFonts w:cs="Arial"/>
          <w:bCs/>
        </w:rPr>
        <w:endnoteReference w:id="84"/>
      </w:r>
      <w:r w:rsidR="008A52B9" w:rsidRPr="00AE0999">
        <w:t xml:space="preserve"> </w:t>
      </w:r>
      <w:r w:rsidR="00301CBB" w:rsidRPr="00AE0999">
        <w:t>Overall, the number of adoptions within Australia</w:t>
      </w:r>
      <w:r w:rsidR="00AA3111">
        <w:t xml:space="preserve"> (including known child adoptions and local adoptions)</w:t>
      </w:r>
      <w:r w:rsidR="00301CBB" w:rsidRPr="00AE0999">
        <w:t xml:space="preserve"> has decreased by 56% over the last 25 years, from 556 in 1992-1993 to 246 in 2016-2017.</w:t>
      </w:r>
      <w:r w:rsidR="00301CBB">
        <w:rPr>
          <w:rStyle w:val="EndnoteReference"/>
          <w:rFonts w:cs="Arial"/>
          <w:bCs/>
        </w:rPr>
        <w:endnoteReference w:id="85"/>
      </w:r>
      <w:r w:rsidR="00301CBB" w:rsidRPr="00AE0999">
        <w:t xml:space="preserve"> </w:t>
      </w:r>
    </w:p>
    <w:p w14:paraId="0C3B2A4A" w14:textId="7A721851" w:rsidR="0052518A" w:rsidRDefault="00A42050" w:rsidP="007000AE">
      <w:pPr>
        <w:pStyle w:val="SubmissionNormal"/>
        <w:tabs>
          <w:tab w:val="clear" w:pos="786"/>
        </w:tabs>
        <w:ind w:left="720" w:hanging="720"/>
      </w:pPr>
      <w:r>
        <w:t>In 2016-</w:t>
      </w:r>
      <w:r w:rsidR="0052518A" w:rsidRPr="00A42050">
        <w:t xml:space="preserve">2017, </w:t>
      </w:r>
      <w:r w:rsidR="008A52B9">
        <w:t xml:space="preserve">only </w:t>
      </w:r>
      <w:r>
        <w:t xml:space="preserve">four </w:t>
      </w:r>
      <w:r w:rsidR="0052518A" w:rsidRPr="00A42050">
        <w:t>Indigenous children had adoption orders finalised</w:t>
      </w:r>
      <w:r w:rsidR="00D865BD">
        <w:t xml:space="preserve"> in Australia</w:t>
      </w:r>
      <w:r w:rsidR="0052518A" w:rsidRPr="00A42050">
        <w:t xml:space="preserve">, </w:t>
      </w:r>
      <w:r w:rsidR="00D865BD">
        <w:t>of whom</w:t>
      </w:r>
      <w:r w:rsidR="0052518A" w:rsidRPr="00D865BD">
        <w:t xml:space="preserve"> </w:t>
      </w:r>
      <w:r w:rsidRPr="00D865BD">
        <w:t xml:space="preserve">one </w:t>
      </w:r>
      <w:r w:rsidR="0052518A" w:rsidRPr="00D865BD">
        <w:t>was adopted by Indigenous Australians</w:t>
      </w:r>
      <w:r w:rsidR="00D865BD">
        <w:t xml:space="preserve"> and three were adopted by other Australians.</w:t>
      </w:r>
      <w:r w:rsidR="008443B5" w:rsidRPr="008443B5">
        <w:t xml:space="preserve"> </w:t>
      </w:r>
      <w:r w:rsidR="0052518A" w:rsidRPr="008443B5">
        <w:t>Over the last 25 years, 125 Indigenous children have been adopted</w:t>
      </w:r>
      <w:r w:rsidRPr="008443B5">
        <w:t xml:space="preserve"> in Australia,</w:t>
      </w:r>
      <w:r w:rsidR="008443B5">
        <w:t xml:space="preserve"> with 50% </w:t>
      </w:r>
      <w:r w:rsidR="0052518A" w:rsidRPr="008443B5">
        <w:t>ad</w:t>
      </w:r>
      <w:r w:rsidR="008443B5">
        <w:t>opted by Indigenous Australians and 50% adopted by other Australians</w:t>
      </w:r>
      <w:r w:rsidR="008443B5" w:rsidRPr="007A610F">
        <w:t>.</w:t>
      </w:r>
      <w:r w:rsidR="008443B5">
        <w:rPr>
          <w:rStyle w:val="EndnoteReference"/>
          <w:rFonts w:cs="Arial"/>
          <w:bCs/>
        </w:rPr>
        <w:endnoteReference w:id="86"/>
      </w:r>
    </w:p>
    <w:p w14:paraId="061BD317" w14:textId="22770CE4" w:rsidR="00894E1D" w:rsidRDefault="00894E1D" w:rsidP="00894E1D">
      <w:pPr>
        <w:pStyle w:val="Heading2"/>
        <w:numPr>
          <w:ilvl w:val="1"/>
          <w:numId w:val="16"/>
        </w:numPr>
      </w:pPr>
      <w:bookmarkStart w:id="23" w:name="_Toc516142238"/>
      <w:r>
        <w:t>Adoption as a stable and permanent alternative to out-of-home care</w:t>
      </w:r>
      <w:bookmarkEnd w:id="23"/>
    </w:p>
    <w:p w14:paraId="3D2F86C8" w14:textId="7AD00609" w:rsidR="001A6BF2" w:rsidRDefault="007B3E72" w:rsidP="00894E1D">
      <w:pPr>
        <w:pStyle w:val="SubmissionNormal"/>
        <w:tabs>
          <w:tab w:val="clear" w:pos="786"/>
        </w:tabs>
        <w:ind w:left="720" w:hanging="720"/>
      </w:pPr>
      <w:r>
        <w:t>C</w:t>
      </w:r>
      <w:r w:rsidR="006B7E11">
        <w:t xml:space="preserve">hildren </w:t>
      </w:r>
      <w:r>
        <w:t>in</w:t>
      </w:r>
      <w:r w:rsidR="001A6BF2">
        <w:t xml:space="preserve"> </w:t>
      </w:r>
      <w:r>
        <w:t>the out-of-home care system</w:t>
      </w:r>
      <w:r w:rsidR="00F64C76">
        <w:t xml:space="preserve"> should be provided with a stable and permanent care </w:t>
      </w:r>
      <w:r w:rsidR="00135FFE">
        <w:t>outcome</w:t>
      </w:r>
      <w:r w:rsidR="00F64C76">
        <w:t xml:space="preserve"> that best suits their individual needs a</w:t>
      </w:r>
      <w:r w:rsidR="001A6BF2">
        <w:t xml:space="preserve">nd best serves their interests. </w:t>
      </w:r>
    </w:p>
    <w:p w14:paraId="4FDAE23E" w14:textId="5BEF9BB5" w:rsidR="00287ABA" w:rsidRDefault="005D57C5" w:rsidP="00894E1D">
      <w:pPr>
        <w:pStyle w:val="SubmissionNormal"/>
        <w:tabs>
          <w:tab w:val="clear" w:pos="786"/>
        </w:tabs>
        <w:ind w:left="720" w:hanging="720"/>
      </w:pPr>
      <w:r>
        <w:t xml:space="preserve">Ideally, </w:t>
      </w:r>
      <w:r w:rsidR="001A6BF2">
        <w:t>children would be safely reunified with their birth famil</w:t>
      </w:r>
      <w:r w:rsidR="009A40B2">
        <w:t>ies</w:t>
      </w:r>
      <w:r w:rsidR="001A6BF2">
        <w:t xml:space="preserve">, with the provision of appropriate support services. Where that is not possible or would not be in the child’s best interests, an alternative permanent </w:t>
      </w:r>
      <w:r w:rsidR="00B139E7">
        <w:t>care option</w:t>
      </w:r>
      <w:r w:rsidR="001A6BF2">
        <w:t xml:space="preserve"> should be sought at an</w:t>
      </w:r>
      <w:r w:rsidR="00B139E7">
        <w:t xml:space="preserve"> early stage</w:t>
      </w:r>
      <w:r w:rsidR="001A6BF2">
        <w:t>.</w:t>
      </w:r>
    </w:p>
    <w:p w14:paraId="23743C76" w14:textId="43BFDB0D" w:rsidR="0087415C" w:rsidRDefault="00A66D9B" w:rsidP="00894E1D">
      <w:pPr>
        <w:pStyle w:val="SubmissionNormal"/>
        <w:tabs>
          <w:tab w:val="clear" w:pos="786"/>
        </w:tabs>
        <w:ind w:left="720" w:hanging="720"/>
      </w:pPr>
      <w:r>
        <w:t xml:space="preserve">As discussed above, stability and permanency are critical for children, particularly </w:t>
      </w:r>
      <w:r w:rsidRPr="00F31835">
        <w:t>in their early years</w:t>
      </w:r>
      <w:r w:rsidRPr="00894E1D">
        <w:rPr>
          <w:lang w:val="en-US"/>
        </w:rPr>
        <w:t>.</w:t>
      </w:r>
      <w:r>
        <w:t xml:space="preserve"> Adoption is one </w:t>
      </w:r>
      <w:r w:rsidR="009A40B2">
        <w:t>option for creating</w:t>
      </w:r>
      <w:r>
        <w:t xml:space="preserve"> stability an</w:t>
      </w:r>
      <w:r w:rsidR="009A40B2">
        <w:t>d permanency</w:t>
      </w:r>
      <w:r w:rsidR="00901879">
        <w:t xml:space="preserve">, and </w:t>
      </w:r>
      <w:r w:rsidR="00966A8D" w:rsidRPr="00135FFE">
        <w:t>for improvi</w:t>
      </w:r>
      <w:r w:rsidR="00901879">
        <w:t xml:space="preserve">ng the life experiences of </w:t>
      </w:r>
      <w:r w:rsidR="00966A8D" w:rsidRPr="00135FFE">
        <w:t>children wh</w:t>
      </w:r>
      <w:r w:rsidR="009A40B2">
        <w:t>o cannot be r</w:t>
      </w:r>
      <w:r w:rsidR="00966A8D" w:rsidRPr="00135FFE">
        <w:t>eunified with t</w:t>
      </w:r>
      <w:r w:rsidR="009A40B2">
        <w:t>heir birth families</w:t>
      </w:r>
      <w:r w:rsidR="00D90976" w:rsidRPr="00135FFE">
        <w:t>.</w:t>
      </w:r>
      <w:r w:rsidR="00FE527E" w:rsidRPr="00135FFE">
        <w:t xml:space="preserve"> Other options include </w:t>
      </w:r>
      <w:r w:rsidR="005F5B84">
        <w:t>permanent care</w:t>
      </w:r>
      <w:r w:rsidR="0018609D">
        <w:t xml:space="preserve"> orders</w:t>
      </w:r>
      <w:r w:rsidR="00937D64">
        <w:t xml:space="preserve"> such as those </w:t>
      </w:r>
      <w:r w:rsidR="007B3E72">
        <w:t>used in Victoria</w:t>
      </w:r>
      <w:r w:rsidR="006B7E11">
        <w:t>,</w:t>
      </w:r>
      <w:r w:rsidR="0018609D">
        <w:t xml:space="preserve"> and </w:t>
      </w:r>
      <w:r w:rsidR="00304FAC" w:rsidRPr="00135FFE">
        <w:t>guardianship</w:t>
      </w:r>
      <w:r w:rsidR="00C83BED">
        <w:t xml:space="preserve"> </w:t>
      </w:r>
      <w:r w:rsidR="00532695" w:rsidRPr="00135FFE">
        <w:t>orders</w:t>
      </w:r>
      <w:r w:rsidR="00937D64">
        <w:t xml:space="preserve"> such as those </w:t>
      </w:r>
      <w:r w:rsidR="00714CD5">
        <w:t>used in New South Wales</w:t>
      </w:r>
      <w:r w:rsidR="00032AEB">
        <w:t xml:space="preserve"> (NSW)</w:t>
      </w:r>
      <w:r w:rsidR="00714CD5">
        <w:t>.</w:t>
      </w:r>
      <w:r w:rsidR="004F063C">
        <w:t xml:space="preserve"> </w:t>
      </w:r>
      <w:r w:rsidR="0087415C">
        <w:t xml:space="preserve">Stable and long-term </w:t>
      </w:r>
      <w:r w:rsidR="0087415C" w:rsidRPr="00284B7A">
        <w:t>kinship care or fo</w:t>
      </w:r>
      <w:r w:rsidR="0087415C">
        <w:t>ster care with the same carer/s are also options, if an appropriate permanent care option cannot be secured.</w:t>
      </w:r>
    </w:p>
    <w:p w14:paraId="04F015B5" w14:textId="32B2DF65" w:rsidR="00C52CF7" w:rsidRDefault="00966A8D" w:rsidP="00894E1D">
      <w:pPr>
        <w:pStyle w:val="SubmissionNormal"/>
        <w:tabs>
          <w:tab w:val="clear" w:pos="786"/>
        </w:tabs>
        <w:ind w:left="720" w:hanging="720"/>
      </w:pPr>
      <w:r>
        <w:t>Delayed decision making</w:t>
      </w:r>
      <w:r w:rsidR="00287ABA">
        <w:t>, during which a child may experience</w:t>
      </w:r>
      <w:r w:rsidR="00D40BB0">
        <w:t xml:space="preserve"> a number of out-</w:t>
      </w:r>
      <w:r w:rsidR="00287ABA">
        <w:t xml:space="preserve">of-home care placements, </w:t>
      </w:r>
      <w:r>
        <w:t>is not in a child’s best interests. Pl</w:t>
      </w:r>
      <w:r w:rsidR="004F063C">
        <w:t>anning for a permanent outcome</w:t>
      </w:r>
      <w:r>
        <w:t xml:space="preserve"> – whether that be through</w:t>
      </w:r>
      <w:r w:rsidR="00204562">
        <w:t xml:space="preserve"> reunification with the child’s birth family,</w:t>
      </w:r>
      <w:r>
        <w:t xml:space="preserve"> adoption or another option – should begin early in a child’s engagement with the out-of-home care system.</w:t>
      </w:r>
      <w:r w:rsidR="00204562">
        <w:t xml:space="preserve"> </w:t>
      </w:r>
    </w:p>
    <w:p w14:paraId="470FE841" w14:textId="604E7D8C" w:rsidR="004B2E47" w:rsidRPr="00894E1D" w:rsidRDefault="00D42686" w:rsidP="00894E1D">
      <w:pPr>
        <w:pStyle w:val="SubmissionNormal"/>
        <w:tabs>
          <w:tab w:val="clear" w:pos="786"/>
        </w:tabs>
        <w:ind w:left="720" w:hanging="720"/>
      </w:pPr>
      <w:r>
        <w:lastRenderedPageBreak/>
        <w:t xml:space="preserve">Research in the United Kingdom has </w:t>
      </w:r>
      <w:r w:rsidR="004B2E47">
        <w:t>suggested</w:t>
      </w:r>
      <w:r>
        <w:t xml:space="preserve"> that </w:t>
      </w:r>
      <w:r w:rsidR="00946458" w:rsidRPr="00894E1D">
        <w:rPr>
          <w:lang w:val="en"/>
        </w:rPr>
        <w:t>adoption</w:t>
      </w:r>
      <w:r w:rsidRPr="00894E1D">
        <w:rPr>
          <w:lang w:val="en"/>
        </w:rPr>
        <w:t xml:space="preserve"> arrangements </w:t>
      </w:r>
      <w:r w:rsidR="00585E6E" w:rsidRPr="00894E1D">
        <w:rPr>
          <w:lang w:val="en"/>
        </w:rPr>
        <w:t xml:space="preserve">may be more </w:t>
      </w:r>
      <w:r w:rsidRPr="00894E1D">
        <w:rPr>
          <w:lang w:val="en"/>
        </w:rPr>
        <w:t xml:space="preserve">likely to break down </w:t>
      </w:r>
      <w:r w:rsidR="00585E6E" w:rsidRPr="00894E1D">
        <w:rPr>
          <w:lang w:val="en"/>
        </w:rPr>
        <w:t xml:space="preserve">in cases where </w:t>
      </w:r>
      <w:r w:rsidR="004B2E47" w:rsidRPr="00894E1D">
        <w:rPr>
          <w:lang w:val="en"/>
        </w:rPr>
        <w:t>a</w:t>
      </w:r>
      <w:r w:rsidR="00585E6E" w:rsidRPr="00894E1D">
        <w:rPr>
          <w:lang w:val="en"/>
        </w:rPr>
        <w:t xml:space="preserve"> child is</w:t>
      </w:r>
      <w:r w:rsidRPr="00894E1D">
        <w:rPr>
          <w:lang w:val="en"/>
        </w:rPr>
        <w:t xml:space="preserve"> </w:t>
      </w:r>
      <w:r w:rsidR="00585E6E" w:rsidRPr="00894E1D">
        <w:rPr>
          <w:lang w:val="en"/>
        </w:rPr>
        <w:t xml:space="preserve">adopted after the age of four, </w:t>
      </w:r>
      <w:r w:rsidR="0066543C" w:rsidRPr="00894E1D">
        <w:rPr>
          <w:lang w:val="en"/>
        </w:rPr>
        <w:t>where</w:t>
      </w:r>
      <w:r w:rsidR="00585E6E" w:rsidRPr="00894E1D">
        <w:rPr>
          <w:lang w:val="en"/>
        </w:rPr>
        <w:t xml:space="preserve"> a child has experienced placement instability </w:t>
      </w:r>
      <w:r w:rsidR="0066543C" w:rsidRPr="00894E1D">
        <w:rPr>
          <w:lang w:val="en"/>
        </w:rPr>
        <w:t>prior to adoption</w:t>
      </w:r>
      <w:r w:rsidR="00D364CD" w:rsidRPr="00894E1D">
        <w:rPr>
          <w:lang w:val="en"/>
        </w:rPr>
        <w:t>,</w:t>
      </w:r>
      <w:r w:rsidR="00585E6E" w:rsidRPr="00894E1D">
        <w:rPr>
          <w:lang w:val="en"/>
        </w:rPr>
        <w:t xml:space="preserve"> or where </w:t>
      </w:r>
      <w:r w:rsidR="0066543C" w:rsidRPr="00894E1D">
        <w:rPr>
          <w:lang w:val="en"/>
        </w:rPr>
        <w:t>the adoption process has been lengthy.</w:t>
      </w:r>
      <w:r w:rsidR="00F758A5">
        <w:rPr>
          <w:rStyle w:val="EndnoteReference"/>
          <w:lang w:val="en"/>
        </w:rPr>
        <w:endnoteReference w:id="87"/>
      </w:r>
    </w:p>
    <w:p w14:paraId="1AFCFF49" w14:textId="77AA02CB" w:rsidR="00FB15A3" w:rsidRDefault="00FB15A3" w:rsidP="00894E1D">
      <w:pPr>
        <w:pStyle w:val="SubmissionNormal"/>
        <w:tabs>
          <w:tab w:val="clear" w:pos="786"/>
        </w:tabs>
        <w:ind w:left="720" w:hanging="720"/>
      </w:pPr>
      <w:r>
        <w:t>While early and timely decision-making should be prioritised, care should be taken to ensure that in aiming to streamline or more readily facilitate adoption processes, the long-term needs and interests of children and their families are not compromised. Sufficient time should be allowed for appropriate options to be explored, key parties to be fully informed, and counselling and support services to be accessed.</w:t>
      </w:r>
    </w:p>
    <w:p w14:paraId="05D7FE9A" w14:textId="68207D64" w:rsidR="006151B7" w:rsidRDefault="00010CA8" w:rsidP="001F0B13">
      <w:pPr>
        <w:pStyle w:val="SubmissionNormal"/>
        <w:tabs>
          <w:tab w:val="clear" w:pos="786"/>
        </w:tabs>
        <w:ind w:left="720" w:hanging="720"/>
      </w:pPr>
      <w:r>
        <w:t xml:space="preserve">The permanency </w:t>
      </w:r>
      <w:r w:rsidR="0084682E">
        <w:t>planning</w:t>
      </w:r>
      <w:r w:rsidR="000F095E">
        <w:t xml:space="preserve"> </w:t>
      </w:r>
      <w:r w:rsidR="006B01FD">
        <w:t>approach</w:t>
      </w:r>
      <w:r w:rsidR="00A11F03">
        <w:t xml:space="preserve"> used</w:t>
      </w:r>
      <w:r w:rsidR="00032AEB">
        <w:t xml:space="preserve"> in NSW</w:t>
      </w:r>
      <w:r>
        <w:t xml:space="preserve"> </w:t>
      </w:r>
      <w:r w:rsidR="007B3571">
        <w:t>provides</w:t>
      </w:r>
      <w:r w:rsidR="00DC0C60">
        <w:t xml:space="preserve"> one possible model</w:t>
      </w:r>
      <w:r w:rsidR="000F095E">
        <w:t xml:space="preserve">. </w:t>
      </w:r>
      <w:r>
        <w:t xml:space="preserve">In the NSW context, </w:t>
      </w:r>
      <w:r w:rsidR="00965746">
        <w:t>the focus is on ‘removal of barriers to earlier decision making about the viability of restoration and alternative</w:t>
      </w:r>
      <w:r w:rsidR="00A11F03">
        <w:t>s</w:t>
      </w:r>
      <w:r w:rsidR="00965746">
        <w:t xml:space="preserve"> such as open adoption and guardianship’.</w:t>
      </w:r>
      <w:r w:rsidR="00965746">
        <w:rPr>
          <w:rStyle w:val="EndnoteReference"/>
        </w:rPr>
        <w:endnoteReference w:id="88"/>
      </w:r>
      <w:r w:rsidR="00A13970">
        <w:t xml:space="preserve"> </w:t>
      </w:r>
      <w:r w:rsidR="006B01FD">
        <w:t>According to the NSW Government:</w:t>
      </w:r>
    </w:p>
    <w:p w14:paraId="4177569F" w14:textId="16DC089F" w:rsidR="001F0B13" w:rsidRPr="001F0B13" w:rsidRDefault="001F0B13" w:rsidP="001F0B13">
      <w:pPr>
        <w:ind w:left="1440"/>
        <w:rPr>
          <w:sz w:val="22"/>
          <w:szCs w:val="22"/>
        </w:rPr>
      </w:pPr>
      <w:r w:rsidRPr="001F0B13">
        <w:rPr>
          <w:sz w:val="22"/>
          <w:szCs w:val="22"/>
        </w:rPr>
        <w:t xml:space="preserve">Permanency planning involves finding permanent relationships that can help children feel safe, connected, and secure no matter where they live. Permanency planning is based on the philosophy that every child has the right to a permanent and stable home, preferably with the child’s own family. The primary focus of permanency planning is to prevent children </w:t>
      </w:r>
      <w:r w:rsidR="004941F8">
        <w:rPr>
          <w:sz w:val="22"/>
          <w:szCs w:val="22"/>
        </w:rPr>
        <w:t>‘</w:t>
      </w:r>
      <w:r w:rsidRPr="001F0B13">
        <w:rPr>
          <w:sz w:val="22"/>
          <w:szCs w:val="22"/>
        </w:rPr>
        <w:t>d</w:t>
      </w:r>
      <w:r w:rsidR="004941F8">
        <w:rPr>
          <w:sz w:val="22"/>
          <w:szCs w:val="22"/>
        </w:rPr>
        <w:t>rifting in care’</w:t>
      </w:r>
      <w:r w:rsidRPr="001F0B13">
        <w:rPr>
          <w:sz w:val="22"/>
          <w:szCs w:val="22"/>
        </w:rPr>
        <w:t>. In other words, permanency planning reduces the likelihood of children experiencing continual change in their care arrangements which can result in repeated loss of social and community relationships. Instability in a child or young person’s living arrangements can impair their ability to form deep and lasting attachments with carers, family and peers. These attachments are critical for promoting a child’s emotional, psychological, social and cultural development.</w:t>
      </w:r>
      <w:r w:rsidRPr="001F0B13">
        <w:rPr>
          <w:rStyle w:val="EndnoteReference"/>
          <w:rFonts w:eastAsia="Times New Roman" w:cs="Arial"/>
          <w:color w:val="1A1A1A"/>
          <w:szCs w:val="20"/>
        </w:rPr>
        <w:endnoteReference w:id="89"/>
      </w:r>
      <w:r w:rsidRPr="001F0B13">
        <w:rPr>
          <w:sz w:val="20"/>
          <w:szCs w:val="20"/>
        </w:rPr>
        <w:t xml:space="preserve"> </w:t>
      </w:r>
    </w:p>
    <w:p w14:paraId="3AF64045" w14:textId="3351EE27" w:rsidR="00872DE0" w:rsidRDefault="009E6DD7" w:rsidP="001A2724">
      <w:pPr>
        <w:pStyle w:val="SubmissionNormal"/>
        <w:tabs>
          <w:tab w:val="clear" w:pos="786"/>
        </w:tabs>
        <w:ind w:left="720" w:hanging="720"/>
      </w:pPr>
      <w:r>
        <w:t>Under the Permanency Support Program in NSW, each child or young person is to have a case plan with a goal of achieving a permanent outcome within two years – whether that be through returning home or though guardianship or adoption.</w:t>
      </w:r>
      <w:r>
        <w:rPr>
          <w:rStyle w:val="EndnoteReference"/>
        </w:rPr>
        <w:endnoteReference w:id="90"/>
      </w:r>
      <w:r w:rsidR="00465BAD">
        <w:t xml:space="preserve"> The NSW approach is based on permanent placement principles which include a preferred order of placement for children, being: preservation in or restoration with the</w:t>
      </w:r>
      <w:r w:rsidR="00CB511F">
        <w:t>ir</w:t>
      </w:r>
      <w:r w:rsidR="00465BAD">
        <w:t xml:space="preserve"> birth family; guardianship; open adoption; and lastly, transfer of parental responsibility to the Minister.</w:t>
      </w:r>
      <w:r w:rsidR="00B85B37">
        <w:rPr>
          <w:rStyle w:val="EndnoteReference"/>
        </w:rPr>
        <w:endnoteReference w:id="91"/>
      </w:r>
    </w:p>
    <w:p w14:paraId="43B46C9B" w14:textId="27EE8778" w:rsidR="005F28D3" w:rsidRPr="001A2724" w:rsidRDefault="00CD4DEB" w:rsidP="001A2724">
      <w:pPr>
        <w:pStyle w:val="SubmissionNormal"/>
        <w:tabs>
          <w:tab w:val="clear" w:pos="786"/>
        </w:tabs>
        <w:ind w:left="720" w:hanging="720"/>
      </w:pPr>
      <w:r>
        <w:t>A</w:t>
      </w:r>
      <w:r w:rsidR="00D90976">
        <w:t>doption can provide positive outcomes for children</w:t>
      </w:r>
      <w:r>
        <w:t>.</w:t>
      </w:r>
      <w:r w:rsidR="00AC1BD5">
        <w:rPr>
          <w:rStyle w:val="EndnoteReference"/>
        </w:rPr>
        <w:endnoteReference w:id="92"/>
      </w:r>
      <w:r w:rsidR="00D90976">
        <w:t xml:space="preserve"> </w:t>
      </w:r>
      <w:r>
        <w:t xml:space="preserve">However, </w:t>
      </w:r>
      <w:r w:rsidR="00D90976">
        <w:t>it is not a step to be taken lightly. Lessons must be learned from previous inquiries into Australia’s past damagin</w:t>
      </w:r>
      <w:r w:rsidR="00634AFC">
        <w:t xml:space="preserve">g practices of forced </w:t>
      </w:r>
      <w:r w:rsidR="00D62095">
        <w:t xml:space="preserve">removals and forced </w:t>
      </w:r>
      <w:r w:rsidR="00634AFC">
        <w:t>adoption</w:t>
      </w:r>
      <w:r w:rsidR="00980DBF">
        <w:t>s</w:t>
      </w:r>
      <w:r w:rsidR="00DA3987">
        <w:t xml:space="preserve">. </w:t>
      </w:r>
      <w:r w:rsidR="00247262">
        <w:t xml:space="preserve">At the national level these </w:t>
      </w:r>
      <w:r w:rsidR="00C96BCA">
        <w:t>include</w:t>
      </w:r>
      <w:r w:rsidR="00247262">
        <w:t xml:space="preserve"> </w:t>
      </w:r>
      <w:r w:rsidR="00C96BCA">
        <w:t>the</w:t>
      </w:r>
      <w:r w:rsidR="007B204B">
        <w:t xml:space="preserve"> </w:t>
      </w:r>
      <w:r w:rsidR="00ED185A" w:rsidRPr="00ED185A">
        <w:t>National Inquiry into the Separation of Aboriginal and Torres</w:t>
      </w:r>
      <w:r w:rsidR="00214550">
        <w:t xml:space="preserve"> Strait Isla</w:t>
      </w:r>
      <w:r w:rsidR="00380181">
        <w:t>nder Children from t</w:t>
      </w:r>
      <w:r w:rsidR="00ED185A" w:rsidRPr="00ED185A">
        <w:t>heir Families</w:t>
      </w:r>
      <w:r w:rsidR="00ED185A">
        <w:t>,</w:t>
      </w:r>
      <w:r w:rsidR="00ED185A">
        <w:rPr>
          <w:rStyle w:val="EndnoteReference"/>
        </w:rPr>
        <w:endnoteReference w:id="93"/>
      </w:r>
      <w:r w:rsidR="00ED185A">
        <w:t xml:space="preserve"> the </w:t>
      </w:r>
      <w:r w:rsidR="007B204B">
        <w:t xml:space="preserve">Senate </w:t>
      </w:r>
      <w:r w:rsidR="007B204B" w:rsidRPr="001A2724">
        <w:rPr>
          <w:rFonts w:eastAsia="Calibri-Light" w:cs="Arial"/>
        </w:rPr>
        <w:t>Community Affairs References Committee</w:t>
      </w:r>
      <w:r w:rsidR="007E135C" w:rsidRPr="001A2724">
        <w:rPr>
          <w:rFonts w:eastAsia="Calibri-Light" w:cs="Arial"/>
        </w:rPr>
        <w:t xml:space="preserve"> I</w:t>
      </w:r>
      <w:r w:rsidR="0083132F" w:rsidRPr="001A2724">
        <w:rPr>
          <w:rFonts w:eastAsia="Calibri-Light" w:cs="Arial"/>
        </w:rPr>
        <w:t>nquiry into Child Migration,</w:t>
      </w:r>
      <w:r w:rsidR="00295077">
        <w:rPr>
          <w:rStyle w:val="EndnoteReference"/>
          <w:rFonts w:eastAsia="Calibri-Light" w:cs="Arial"/>
        </w:rPr>
        <w:endnoteReference w:id="94"/>
      </w:r>
      <w:r w:rsidR="0083132F" w:rsidRPr="001A2724">
        <w:rPr>
          <w:rFonts w:eastAsia="Calibri-Light" w:cs="Arial"/>
        </w:rPr>
        <w:t xml:space="preserve"> the Senate Community Affairs References Committee</w:t>
      </w:r>
      <w:r w:rsidR="007E135C" w:rsidRPr="001A2724">
        <w:rPr>
          <w:rFonts w:eastAsia="Calibri-Light" w:cs="Arial"/>
        </w:rPr>
        <w:t xml:space="preserve"> I</w:t>
      </w:r>
      <w:r w:rsidR="0083132F" w:rsidRPr="001A2724">
        <w:rPr>
          <w:rFonts w:eastAsia="Calibri-Light" w:cs="Arial"/>
        </w:rPr>
        <w:t xml:space="preserve">nquiry into </w:t>
      </w:r>
      <w:r w:rsidR="007538D3" w:rsidRPr="001A2724">
        <w:rPr>
          <w:rFonts w:eastAsia="Calibri-Light" w:cs="Arial"/>
        </w:rPr>
        <w:t>Children in Institutional Care,</w:t>
      </w:r>
      <w:r w:rsidR="00D82CC4">
        <w:rPr>
          <w:rStyle w:val="EndnoteReference"/>
          <w:rFonts w:eastAsia="Calibri-Light" w:cs="Arial"/>
        </w:rPr>
        <w:endnoteReference w:id="95"/>
      </w:r>
      <w:r w:rsidR="007538D3" w:rsidRPr="001A2724">
        <w:rPr>
          <w:rFonts w:eastAsia="Calibri-Light" w:cs="Arial"/>
        </w:rPr>
        <w:t xml:space="preserve"> </w:t>
      </w:r>
      <w:r w:rsidR="007E135C" w:rsidRPr="001A2724">
        <w:rPr>
          <w:rFonts w:eastAsia="Calibri-Light" w:cs="Arial"/>
        </w:rPr>
        <w:t xml:space="preserve">and the </w:t>
      </w:r>
      <w:r w:rsidR="0060599A" w:rsidRPr="001A2724">
        <w:rPr>
          <w:rFonts w:eastAsia="Calibri-Light"/>
        </w:rPr>
        <w:t>Senate Community Affairs References Committee Inquiry into the Commonwealth contribution to former forced adoption policies and practices.</w:t>
      </w:r>
      <w:r w:rsidR="00D82CC4">
        <w:rPr>
          <w:rStyle w:val="EndnoteReference"/>
          <w:rFonts w:eastAsia="Calibri-Light"/>
        </w:rPr>
        <w:endnoteReference w:id="96"/>
      </w:r>
    </w:p>
    <w:p w14:paraId="0572F99A" w14:textId="72356ED4" w:rsidR="003324E3" w:rsidRPr="000225DD" w:rsidRDefault="003324E3" w:rsidP="001A2724">
      <w:pPr>
        <w:pStyle w:val="SubmissionNormal"/>
        <w:tabs>
          <w:tab w:val="clear" w:pos="786"/>
        </w:tabs>
        <w:ind w:left="720" w:hanging="720"/>
      </w:pPr>
      <w:r w:rsidRPr="001A2724">
        <w:rPr>
          <w:rFonts w:eastAsia="Calibri-Light"/>
        </w:rPr>
        <w:lastRenderedPageBreak/>
        <w:t xml:space="preserve">The Australian Government has issued a number of apologies to those affected by </w:t>
      </w:r>
      <w:r>
        <w:t>past practices of forced removals and forced adoptions, including the</w:t>
      </w:r>
      <w:r w:rsidR="00BE0330">
        <w:t xml:space="preserve"> 2008 National</w:t>
      </w:r>
      <w:r w:rsidR="00F14843">
        <w:t xml:space="preserve"> Apology to Australia’s Indigenous Peoples</w:t>
      </w:r>
      <w:r w:rsidR="00BE0330">
        <w:t>,</w:t>
      </w:r>
      <w:r w:rsidR="005024FF">
        <w:rPr>
          <w:rStyle w:val="EndnoteReference"/>
        </w:rPr>
        <w:endnoteReference w:id="97"/>
      </w:r>
      <w:r w:rsidR="00BE0330">
        <w:t xml:space="preserve"> the </w:t>
      </w:r>
      <w:r>
        <w:t xml:space="preserve">2009 </w:t>
      </w:r>
      <w:r w:rsidRPr="001A2724">
        <w:rPr>
          <w:rFonts w:cs="Arial"/>
        </w:rPr>
        <w:t>National Apology to the Forgotten Australians and Former Child Migrants,</w:t>
      </w:r>
      <w:r>
        <w:rPr>
          <w:rStyle w:val="EndnoteReference"/>
          <w:rFonts w:cs="Arial"/>
        </w:rPr>
        <w:endnoteReference w:id="98"/>
      </w:r>
      <w:r w:rsidRPr="001A2724">
        <w:rPr>
          <w:rFonts w:cs="Arial"/>
        </w:rPr>
        <w:t xml:space="preserve"> </w:t>
      </w:r>
      <w:r w:rsidR="00BE0330" w:rsidRPr="001A2724">
        <w:rPr>
          <w:rFonts w:cs="Arial"/>
        </w:rPr>
        <w:t xml:space="preserve">and </w:t>
      </w:r>
      <w:r w:rsidRPr="001A2724">
        <w:rPr>
          <w:rFonts w:cs="Arial"/>
        </w:rPr>
        <w:t>the</w:t>
      </w:r>
      <w:r w:rsidR="00365080" w:rsidRPr="001A2724">
        <w:rPr>
          <w:rFonts w:cs="Arial"/>
        </w:rPr>
        <w:t xml:space="preserve"> 2013 Nation</w:t>
      </w:r>
      <w:r w:rsidR="00BE0330" w:rsidRPr="001A2724">
        <w:rPr>
          <w:rFonts w:cs="Arial"/>
        </w:rPr>
        <w:t>al Apology for Forced Adoptions.</w:t>
      </w:r>
      <w:r w:rsidR="00365080">
        <w:rPr>
          <w:rStyle w:val="EndnoteReference"/>
          <w:rFonts w:cs="Arial"/>
        </w:rPr>
        <w:endnoteReference w:id="99"/>
      </w:r>
    </w:p>
    <w:p w14:paraId="5C2BF1EE" w14:textId="4135942A" w:rsidR="0061232F" w:rsidRDefault="0061232F" w:rsidP="000225DD">
      <w:pPr>
        <w:pStyle w:val="SubmissionNormal"/>
        <w:tabs>
          <w:tab w:val="clear" w:pos="786"/>
        </w:tabs>
        <w:ind w:left="720" w:hanging="720"/>
      </w:pPr>
      <w:r>
        <w:t>The lasting impacts of these past practices are still being felt by many Australians, both Indigenous and non-Indigenous</w:t>
      </w:r>
      <w:r w:rsidR="00FE5A51">
        <w:t>. T</w:t>
      </w:r>
      <w:r w:rsidR="00B2376D">
        <w:t>hose affected should be provided with ongoing access to appropriate support services</w:t>
      </w:r>
      <w:r>
        <w:t xml:space="preserve">. Initiatives to promote the </w:t>
      </w:r>
      <w:r w:rsidR="00A21DC4">
        <w:t xml:space="preserve">current and future </w:t>
      </w:r>
      <w:r>
        <w:t>use of adoption should be mindful of the</w:t>
      </w:r>
      <w:r w:rsidR="00ED185A">
        <w:t xml:space="preserve"> ongoing</w:t>
      </w:r>
      <w:r>
        <w:t xml:space="preserve"> sensitivities around this issue for many </w:t>
      </w:r>
      <w:r w:rsidR="00486439">
        <w:t>members of</w:t>
      </w:r>
      <w:r>
        <w:t xml:space="preserve"> our community.</w:t>
      </w:r>
    </w:p>
    <w:p w14:paraId="0BAE5462" w14:textId="0CC1589C" w:rsidR="00413F72" w:rsidRDefault="00883589" w:rsidP="000225DD">
      <w:pPr>
        <w:pStyle w:val="SubmissionNormal"/>
        <w:tabs>
          <w:tab w:val="clear" w:pos="786"/>
        </w:tabs>
        <w:ind w:left="720" w:hanging="720"/>
      </w:pPr>
      <w:r>
        <w:t xml:space="preserve">A number of </w:t>
      </w:r>
      <w:r w:rsidR="00486439">
        <w:t>significant changes</w:t>
      </w:r>
      <w:r w:rsidR="00634AFC">
        <w:t xml:space="preserve"> </w:t>
      </w:r>
      <w:r>
        <w:t xml:space="preserve">have </w:t>
      </w:r>
      <w:r w:rsidR="004165AF">
        <w:t>taken place</w:t>
      </w:r>
      <w:r>
        <w:t xml:space="preserve"> </w:t>
      </w:r>
      <w:r w:rsidR="00634AFC">
        <w:t>since</w:t>
      </w:r>
      <w:r w:rsidR="00486439">
        <w:t xml:space="preserve"> previous</w:t>
      </w:r>
      <w:r w:rsidR="00634AFC">
        <w:t xml:space="preserve"> </w:t>
      </w:r>
      <w:r w:rsidR="00EB6368">
        <w:t>inquiries</w:t>
      </w:r>
      <w:r w:rsidR="00486439">
        <w:t>. Importantly, t</w:t>
      </w:r>
      <w:r w:rsidR="00ED185A">
        <w:t xml:space="preserve">his includes the </w:t>
      </w:r>
      <w:r w:rsidR="00486439">
        <w:t xml:space="preserve">current </w:t>
      </w:r>
      <w:r w:rsidR="005D3CBF">
        <w:t xml:space="preserve">widespread </w:t>
      </w:r>
      <w:r w:rsidR="00EB6368">
        <w:t xml:space="preserve">use of </w:t>
      </w:r>
      <w:r w:rsidR="00486439">
        <w:t>‘</w:t>
      </w:r>
      <w:r w:rsidR="00EB6368">
        <w:t>open adoption</w:t>
      </w:r>
      <w:r w:rsidR="00486439">
        <w:t>’</w:t>
      </w:r>
      <w:r w:rsidR="00EB6368">
        <w:t xml:space="preserve">, whereby adopted children are able to access information about their birth </w:t>
      </w:r>
      <w:r w:rsidR="00E75921">
        <w:t>family</w:t>
      </w:r>
      <w:r w:rsidR="00EB6368">
        <w:t xml:space="preserve"> and maintain an ongoing relationship with them if they wish to do so.</w:t>
      </w:r>
      <w:r w:rsidR="0037469E">
        <w:t xml:space="preserve"> </w:t>
      </w:r>
      <w:r w:rsidR="00486439">
        <w:t>According to the Australian Institute of Health and Welfare, the majority (88%) of local adoptions finalised in Australia in 2016-2017 could be considered open – that is</w:t>
      </w:r>
      <w:r w:rsidR="00B47FBD">
        <w:t>,</w:t>
      </w:r>
      <w:r w:rsidR="00486439">
        <w:t xml:space="preserve"> all parties agreed to allow a degree of </w:t>
      </w:r>
      <w:r w:rsidR="00B47FBD">
        <w:t>contact or information exchange between families.</w:t>
      </w:r>
      <w:r w:rsidR="00B47FBD">
        <w:rPr>
          <w:rStyle w:val="EndnoteReference"/>
        </w:rPr>
        <w:endnoteReference w:id="100"/>
      </w:r>
      <w:r w:rsidR="00E75921">
        <w:t xml:space="preserve"> </w:t>
      </w:r>
    </w:p>
    <w:p w14:paraId="4BE21DF6" w14:textId="690F5F9F" w:rsidR="002C7F1A" w:rsidRDefault="00F348DB" w:rsidP="000225DD">
      <w:pPr>
        <w:pStyle w:val="SubmissionNormal"/>
        <w:tabs>
          <w:tab w:val="clear" w:pos="786"/>
        </w:tabs>
        <w:ind w:left="720" w:hanging="720"/>
      </w:pPr>
      <w:r w:rsidRPr="000225DD">
        <w:rPr>
          <w:lang w:val="en"/>
        </w:rPr>
        <w:t>A national framework</w:t>
      </w:r>
      <w:r w:rsidR="005727E6" w:rsidRPr="000225DD">
        <w:rPr>
          <w:lang w:val="en"/>
        </w:rPr>
        <w:t xml:space="preserve"> on adoptions within Australia w</w:t>
      </w:r>
      <w:r w:rsidRPr="000225DD">
        <w:rPr>
          <w:lang w:val="en"/>
        </w:rPr>
        <w:t xml:space="preserve">ould assist in facilitating </w:t>
      </w:r>
      <w:r w:rsidR="004D5CBE" w:rsidRPr="000225DD">
        <w:rPr>
          <w:lang w:val="en"/>
        </w:rPr>
        <w:t xml:space="preserve">the use of </w:t>
      </w:r>
      <w:r w:rsidRPr="000225DD">
        <w:rPr>
          <w:lang w:val="en"/>
        </w:rPr>
        <w:t xml:space="preserve">adoption where </w:t>
      </w:r>
      <w:r w:rsidR="004D5CBE" w:rsidRPr="000225DD">
        <w:rPr>
          <w:lang w:val="en"/>
        </w:rPr>
        <w:t xml:space="preserve">it is </w:t>
      </w:r>
      <w:r w:rsidRPr="000225DD">
        <w:rPr>
          <w:lang w:val="en"/>
        </w:rPr>
        <w:t xml:space="preserve">in the best interests of the child. </w:t>
      </w:r>
      <w:r w:rsidR="004D5CBE">
        <w:t xml:space="preserve">Adoption must always be conducted in the context of sufficient legal and practical safeguards to ensure that children’s rights and wellbeing are protected. </w:t>
      </w:r>
      <w:r w:rsidR="00634AFC">
        <w:t xml:space="preserve">Guiding principles should be included in a national framework to ensure that children’s human rights and best interests are prioritised and protected. Suggested guiding principles are outlined </w:t>
      </w:r>
      <w:r w:rsidR="00634AFC" w:rsidRPr="001C3B41">
        <w:t>in section 8 below.</w:t>
      </w:r>
    </w:p>
    <w:p w14:paraId="0DD442F6" w14:textId="16C50CCB" w:rsidR="000225DD" w:rsidRPr="000225DD" w:rsidRDefault="000225DD" w:rsidP="000225DD">
      <w:pPr>
        <w:pStyle w:val="Heading1"/>
        <w:numPr>
          <w:ilvl w:val="0"/>
          <w:numId w:val="16"/>
        </w:numPr>
        <w:rPr>
          <w:rFonts w:cs="Arial"/>
          <w:lang w:val="en"/>
        </w:rPr>
      </w:pPr>
      <w:bookmarkStart w:id="24" w:name="_Toc516142239"/>
      <w:r w:rsidRPr="00557B4B">
        <w:rPr>
          <w:rFonts w:cs="Arial"/>
          <w:lang w:val="en"/>
        </w:rPr>
        <w:t>Aboriginal and Torres Strait Islander children</w:t>
      </w:r>
      <w:bookmarkEnd w:id="24"/>
    </w:p>
    <w:p w14:paraId="00C4478C" w14:textId="14DD1628" w:rsidR="00557B4B" w:rsidRDefault="00557B4B" w:rsidP="000225DD">
      <w:pPr>
        <w:pStyle w:val="SubmissionNormal"/>
        <w:tabs>
          <w:tab w:val="clear" w:pos="786"/>
        </w:tabs>
        <w:ind w:left="720" w:hanging="720"/>
      </w:pPr>
      <w:r w:rsidRPr="00720FBD">
        <w:t>The Report of the National Inquiry into the Separation of Aboriginal and Torres Strait Islander Children From Their Familie</w:t>
      </w:r>
      <w:r w:rsidRPr="00503B80">
        <w:t xml:space="preserve">s (the </w:t>
      </w:r>
      <w:r w:rsidRPr="00DD40B9">
        <w:rPr>
          <w:i/>
        </w:rPr>
        <w:t>Bringing them Home</w:t>
      </w:r>
      <w:r w:rsidRPr="00503B80">
        <w:t xml:space="preserve"> Report) is the foremost piece of work to document the </w:t>
      </w:r>
      <w:r w:rsidR="004B3BCD">
        <w:t xml:space="preserve">historic </w:t>
      </w:r>
      <w:r w:rsidRPr="00503B80">
        <w:t>experience of forced removal and adoption on Indigenous peoples in Australia.</w:t>
      </w:r>
      <w:r w:rsidRPr="00720FBD">
        <w:rPr>
          <w:rStyle w:val="EndnoteReference"/>
          <w:rFonts w:cs="Arial"/>
        </w:rPr>
        <w:endnoteReference w:id="101"/>
      </w:r>
      <w:r w:rsidRPr="00720FBD">
        <w:t xml:space="preserve"> </w:t>
      </w:r>
    </w:p>
    <w:p w14:paraId="04F96C74" w14:textId="7A8B6500" w:rsidR="00557B4B" w:rsidRDefault="00557B4B" w:rsidP="000225DD">
      <w:pPr>
        <w:pStyle w:val="SubmissionNormal"/>
        <w:tabs>
          <w:tab w:val="clear" w:pos="786"/>
        </w:tabs>
        <w:ind w:left="720" w:hanging="720"/>
      </w:pPr>
      <w:r w:rsidRPr="00503B80">
        <w:t>Discussions about approaches to</w:t>
      </w:r>
      <w:r w:rsidR="00452F50">
        <w:t xml:space="preserve"> child welfare, including </w:t>
      </w:r>
      <w:r w:rsidRPr="00503B80">
        <w:t>adoption, are therefore framed by thi</w:t>
      </w:r>
      <w:r w:rsidR="002C12A3">
        <w:t>s historical context, which has</w:t>
      </w:r>
      <w:r w:rsidRPr="00503B80">
        <w:t xml:space="preserve"> provided the basis for reforms in Indigenous child welfare over the past two decades. </w:t>
      </w:r>
    </w:p>
    <w:p w14:paraId="50AEA896" w14:textId="270C945B" w:rsidR="000225DD" w:rsidRDefault="00367CA6" w:rsidP="00367CA6">
      <w:pPr>
        <w:pStyle w:val="Heading2"/>
        <w:numPr>
          <w:ilvl w:val="0"/>
          <w:numId w:val="0"/>
        </w:numPr>
        <w:ind w:left="851" w:hanging="851"/>
      </w:pPr>
      <w:bookmarkStart w:id="25" w:name="_Toc516142240"/>
      <w:r w:rsidRPr="00503B80">
        <w:t>7.1</w:t>
      </w:r>
      <w:r w:rsidRPr="00503B80">
        <w:tab/>
        <w:t>Aboriginal culture and adoption</w:t>
      </w:r>
      <w:bookmarkEnd w:id="25"/>
    </w:p>
    <w:p w14:paraId="09AAA9F5" w14:textId="06A50B96" w:rsidR="00B84AEF" w:rsidRDefault="00AC1DBB" w:rsidP="00367CA6">
      <w:pPr>
        <w:pStyle w:val="SubmissionNormal"/>
        <w:tabs>
          <w:tab w:val="clear" w:pos="786"/>
        </w:tabs>
        <w:ind w:left="720" w:hanging="720"/>
      </w:pPr>
      <w:r w:rsidRPr="00FB775B">
        <w:t>T</w:t>
      </w:r>
      <w:r w:rsidR="00557B4B" w:rsidRPr="00FB775B">
        <w:t xml:space="preserve">he </w:t>
      </w:r>
      <w:r w:rsidR="00C171F0" w:rsidRPr="00FB775B">
        <w:t xml:space="preserve">Western </w:t>
      </w:r>
      <w:r w:rsidR="00557B4B" w:rsidRPr="00FB775B">
        <w:t xml:space="preserve">concept of adoption is foreign </w:t>
      </w:r>
      <w:r w:rsidRPr="00FB775B">
        <w:t xml:space="preserve">to </w:t>
      </w:r>
      <w:r w:rsidR="00557B4B" w:rsidRPr="00FB775B">
        <w:t xml:space="preserve">traditional </w:t>
      </w:r>
      <w:r w:rsidRPr="00FB775B">
        <w:t xml:space="preserve">Aboriginal and Torres Strait Islander </w:t>
      </w:r>
      <w:r w:rsidR="00557B4B" w:rsidRPr="00FB775B">
        <w:t>ch</w:t>
      </w:r>
      <w:r w:rsidR="002C12A3" w:rsidRPr="00FB775B">
        <w:t xml:space="preserve">ild rearing practices that rely extensively on extended </w:t>
      </w:r>
      <w:r w:rsidR="00557B4B" w:rsidRPr="00FB775B">
        <w:t xml:space="preserve">family networks. </w:t>
      </w:r>
    </w:p>
    <w:p w14:paraId="0A2435B4" w14:textId="07F277DD" w:rsidR="00557B4B" w:rsidRDefault="00A166EB" w:rsidP="00A33926">
      <w:pPr>
        <w:pStyle w:val="SubmissionNormal"/>
        <w:tabs>
          <w:tab w:val="clear" w:pos="786"/>
        </w:tabs>
        <w:ind w:left="720" w:hanging="720"/>
      </w:pPr>
      <w:r w:rsidRPr="00EB7A21">
        <w:t xml:space="preserve">The </w:t>
      </w:r>
      <w:r w:rsidR="00FB775B" w:rsidRPr="00A33926">
        <w:rPr>
          <w:i/>
        </w:rPr>
        <w:t>B</w:t>
      </w:r>
      <w:r w:rsidR="00DD40B9">
        <w:rPr>
          <w:i/>
        </w:rPr>
        <w:t>ringing t</w:t>
      </w:r>
      <w:r w:rsidRPr="00A33926">
        <w:rPr>
          <w:i/>
        </w:rPr>
        <w:t>hem Home</w:t>
      </w:r>
      <w:r>
        <w:t xml:space="preserve"> Report expressed the view that the </w:t>
      </w:r>
      <w:r w:rsidR="00FB775B" w:rsidRPr="00FB775B">
        <w:t xml:space="preserve">requirement to permanently sever familial and cultural identities makes </w:t>
      </w:r>
      <w:r w:rsidR="00FB775B" w:rsidRPr="00FB775B">
        <w:lastRenderedPageBreak/>
        <w:t>adoption culturally inappropriate as a long-term placement option for Aboriginal children.</w:t>
      </w:r>
      <w:r w:rsidR="00FB775B" w:rsidRPr="00720FBD">
        <w:rPr>
          <w:rStyle w:val="EndnoteReference"/>
          <w:rFonts w:cs="Arial"/>
        </w:rPr>
        <w:endnoteReference w:id="102"/>
      </w:r>
    </w:p>
    <w:p w14:paraId="491746EB" w14:textId="5DE95B39" w:rsidR="003D367B" w:rsidRDefault="00EB7A21" w:rsidP="00A33926">
      <w:pPr>
        <w:pStyle w:val="SubmissionNormal"/>
        <w:tabs>
          <w:tab w:val="clear" w:pos="786"/>
        </w:tabs>
        <w:ind w:left="720" w:hanging="720"/>
      </w:pPr>
      <w:r>
        <w:t>Furthermore, t</w:t>
      </w:r>
      <w:r w:rsidR="00C171F0">
        <w:t xml:space="preserve">he Australian Law Reform Commission’s </w:t>
      </w:r>
      <w:r w:rsidR="00A87A67">
        <w:t xml:space="preserve">1986 </w:t>
      </w:r>
      <w:r w:rsidR="00C171F0">
        <w:t>report on Recognition of Customary Laws</w:t>
      </w:r>
      <w:r w:rsidR="00AC1DBB">
        <w:t xml:space="preserve"> state</w:t>
      </w:r>
      <w:r>
        <w:t>d</w:t>
      </w:r>
      <w:r w:rsidR="00F02FD4">
        <w:t>:</w:t>
      </w:r>
    </w:p>
    <w:p w14:paraId="5C5D8321" w14:textId="62D3C7FE" w:rsidR="004B6B7E" w:rsidRDefault="004B6B7E" w:rsidP="00FE59B4">
      <w:pPr>
        <w:ind w:left="1014"/>
      </w:pPr>
      <w:r w:rsidRPr="004B6B7E">
        <w:rPr>
          <w:sz w:val="22"/>
          <w:szCs w:val="22"/>
        </w:rPr>
        <w:t>It is common for a member of a child’s extended family, often a grandmother, to look after a child or children for periods of time where the parents are unable to do so for one reason or another. Sometimes these arrangements may extend for longer periods of time, to the point where the child might be identified as permanently in the custody of the person(s) looking after him or her and thus regarded as having been adopted. But it would not usually be correct to describe such placements as ‘adoptions’, since there is no severing of the parent-child relationship but rather a long term arrangement for substitute care. If an equivalent must be found in the State child welfare systems it would be fostering rather than adoption</w:t>
      </w:r>
      <w:r w:rsidRPr="00F02FD4">
        <w:t>.</w:t>
      </w:r>
      <w:r w:rsidRPr="00F02FD4">
        <w:rPr>
          <w:rStyle w:val="EndnoteReference"/>
          <w:rFonts w:cs="Arial"/>
          <w:sz w:val="22"/>
          <w:szCs w:val="22"/>
        </w:rPr>
        <w:endnoteReference w:id="103"/>
      </w:r>
    </w:p>
    <w:p w14:paraId="2A2CF5A9" w14:textId="2A33A65A" w:rsidR="00557B4B" w:rsidRDefault="00557B4B" w:rsidP="00FE59B4">
      <w:pPr>
        <w:pStyle w:val="SubmissionNormal"/>
        <w:tabs>
          <w:tab w:val="clear" w:pos="786"/>
        </w:tabs>
        <w:ind w:left="720" w:hanging="720"/>
      </w:pPr>
      <w:r w:rsidRPr="00503B80">
        <w:t xml:space="preserve">This is distinct from </w:t>
      </w:r>
      <w:r w:rsidRPr="00FE59B4">
        <w:rPr>
          <w:b/>
        </w:rPr>
        <w:t>Kupai Omasker</w:t>
      </w:r>
      <w:r w:rsidRPr="00503B80">
        <w:t>, which is an acceptable form of customary adoption for Torres Strait Islander peoples</w:t>
      </w:r>
      <w:r w:rsidR="00EC7806">
        <w:t>,</w:t>
      </w:r>
      <w:r w:rsidR="005F0CDF" w:rsidRPr="00720FBD">
        <w:rPr>
          <w:rStyle w:val="EndnoteReference"/>
          <w:rFonts w:cs="Arial"/>
        </w:rPr>
        <w:endnoteReference w:id="104"/>
      </w:r>
      <w:r w:rsidR="003D367B" w:rsidRPr="003D367B">
        <w:t xml:space="preserve"> </w:t>
      </w:r>
      <w:r w:rsidR="009A114A">
        <w:t>‘</w:t>
      </w:r>
      <w:r w:rsidR="003D367B" w:rsidRPr="003D367B">
        <w:t xml:space="preserve">involving the permanent placement of children with </w:t>
      </w:r>
      <w:r w:rsidR="003D367B">
        <w:t>members of the extended family.</w:t>
      </w:r>
      <w:r w:rsidR="003D367B" w:rsidRPr="003D367B">
        <w:t xml:space="preserve"> The new custodians of the child are thereafter regarded by the community as </w:t>
      </w:r>
      <w:r w:rsidR="009A114A">
        <w:t>[</w:t>
      </w:r>
      <w:r w:rsidR="00F366A0">
        <w:t>the child’s</w:t>
      </w:r>
      <w:r w:rsidR="009A114A">
        <w:t>]</w:t>
      </w:r>
      <w:r w:rsidR="003D367B" w:rsidRPr="003D367B">
        <w:t xml:space="preserve"> parents</w:t>
      </w:r>
      <w:r w:rsidR="009A114A">
        <w:t>’</w:t>
      </w:r>
      <w:r w:rsidRPr="00503B80">
        <w:t>.</w:t>
      </w:r>
      <w:r w:rsidR="005F0CDF" w:rsidRPr="00F02FD4">
        <w:rPr>
          <w:rStyle w:val="EndnoteReference"/>
          <w:rFonts w:cs="Arial"/>
          <w:sz w:val="22"/>
          <w:szCs w:val="22"/>
        </w:rPr>
        <w:endnoteReference w:id="105"/>
      </w:r>
      <w:r w:rsidRPr="00720FBD">
        <w:t xml:space="preserve"> </w:t>
      </w:r>
    </w:p>
    <w:p w14:paraId="02C362FB" w14:textId="0BA9101F" w:rsidR="003B1BD0" w:rsidRDefault="003B1BD0" w:rsidP="00FE59B4">
      <w:pPr>
        <w:pStyle w:val="SubmissionNormal"/>
        <w:tabs>
          <w:tab w:val="clear" w:pos="786"/>
        </w:tabs>
        <w:ind w:left="720" w:hanging="720"/>
      </w:pPr>
      <w:r>
        <w:t xml:space="preserve">Given this distinction and </w:t>
      </w:r>
      <w:r w:rsidRPr="00552E37">
        <w:t xml:space="preserve">what is known about the depth of intergenerational trauma and social disadvantage and the protective role of culture in promoting identity formation and resilience amongst Indigenous youth, </w:t>
      </w:r>
      <w:r w:rsidRPr="00910724">
        <w:t xml:space="preserve">the Commission </w:t>
      </w:r>
      <w:r>
        <w:t xml:space="preserve">urges great caution </w:t>
      </w:r>
      <w:r w:rsidRPr="00910724">
        <w:t>about the adopti</w:t>
      </w:r>
      <w:r>
        <w:t>on of</w:t>
      </w:r>
      <w:r w:rsidRPr="00910724">
        <w:t xml:space="preserve"> Aboriginal children into non-Aboriginal families.</w:t>
      </w:r>
      <w:r w:rsidRPr="00552E37">
        <w:rPr>
          <w:rStyle w:val="EndnoteReference"/>
          <w:rFonts w:cs="Arial"/>
        </w:rPr>
        <w:endnoteReference w:id="106"/>
      </w:r>
      <w:r w:rsidRPr="00552E37">
        <w:t xml:space="preserve"> </w:t>
      </w:r>
    </w:p>
    <w:p w14:paraId="4A7AE62E" w14:textId="05E14A10" w:rsidR="003B1BD0" w:rsidRDefault="003B1BD0" w:rsidP="00FE59B4">
      <w:pPr>
        <w:pStyle w:val="SubmissionNormal"/>
        <w:tabs>
          <w:tab w:val="clear" w:pos="786"/>
        </w:tabs>
        <w:ind w:left="720" w:hanging="720"/>
      </w:pPr>
      <w:r>
        <w:t xml:space="preserve">The Commission notes that legislative innovations to adoption laws in overseas jurisdictions such as those in Canada may provide helpful examples for Australian governments </w:t>
      </w:r>
      <w:r w:rsidR="00B96CCF">
        <w:t xml:space="preserve">that </w:t>
      </w:r>
      <w:r>
        <w:t>seek to investigate the creation and operation of pluralistic approaches where existing Indigenous systems are codified as valid legal mechanisms alongside mainstream adoption.</w:t>
      </w:r>
    </w:p>
    <w:p w14:paraId="0C2073DF" w14:textId="4B6A4CF7" w:rsidR="00FE59B4" w:rsidRDefault="00551F33" w:rsidP="00551F33">
      <w:pPr>
        <w:pStyle w:val="Heading2"/>
        <w:numPr>
          <w:ilvl w:val="0"/>
          <w:numId w:val="0"/>
        </w:numPr>
        <w:ind w:left="851" w:hanging="851"/>
      </w:pPr>
      <w:bookmarkStart w:id="26" w:name="_Toc516142241"/>
      <w:r w:rsidRPr="00C04AF9">
        <w:t>7.2</w:t>
      </w:r>
      <w:r w:rsidRPr="00C04AF9">
        <w:tab/>
        <w:t xml:space="preserve">The </w:t>
      </w:r>
      <w:r w:rsidRPr="006C1321">
        <w:t>effect of adoption on Indigenous populations</w:t>
      </w:r>
      <w:bookmarkEnd w:id="26"/>
    </w:p>
    <w:p w14:paraId="4ECE5151" w14:textId="02E58DE1" w:rsidR="00557B4B" w:rsidRDefault="00557B4B" w:rsidP="00CD6E67">
      <w:pPr>
        <w:pStyle w:val="SubmissionNormal"/>
        <w:tabs>
          <w:tab w:val="clear" w:pos="786"/>
        </w:tabs>
        <w:ind w:left="720" w:hanging="720"/>
      </w:pPr>
      <w:r w:rsidRPr="00552E37">
        <w:t>It is undeniable that historical policies of forced removal have had a devastating impact on Aboriginal and Torres Strait Islander peoples, including deleterious effect</w:t>
      </w:r>
      <w:r w:rsidR="00B96CCF">
        <w:t>s</w:t>
      </w:r>
      <w:r w:rsidRPr="00552E37">
        <w:t xml:space="preserve"> on the</w:t>
      </w:r>
      <w:r w:rsidR="00976C84" w:rsidRPr="00552E37">
        <w:t xml:space="preserve">ir </w:t>
      </w:r>
      <w:r w:rsidR="00976C84" w:rsidRPr="00EA34DA">
        <w:t>mental and physical</w:t>
      </w:r>
      <w:r w:rsidRPr="00EA34DA">
        <w:t xml:space="preserve"> health, </w:t>
      </w:r>
      <w:r w:rsidR="00976C84" w:rsidRPr="00EA34DA">
        <w:t>a</w:t>
      </w:r>
      <w:r w:rsidRPr="00EA34DA">
        <w:t xml:space="preserve">nd likelihood that those </w:t>
      </w:r>
      <w:r w:rsidR="001A467F" w:rsidRPr="00EA34DA">
        <w:t>a</w:t>
      </w:r>
      <w:r w:rsidRPr="00EA34DA">
        <w:t>ffected</w:t>
      </w:r>
      <w:r w:rsidRPr="006C1321">
        <w:t xml:space="preserve"> would come into contact with child welfare and criminal justice systems</w:t>
      </w:r>
      <w:r w:rsidRPr="00EA34DA">
        <w:t>.</w:t>
      </w:r>
      <w:r w:rsidRPr="00EA34DA">
        <w:rPr>
          <w:rStyle w:val="EndnoteReference"/>
          <w:rFonts w:cs="Arial"/>
        </w:rPr>
        <w:endnoteReference w:id="107"/>
      </w:r>
      <w:r w:rsidRPr="006C1321">
        <w:t xml:space="preserve"> </w:t>
      </w:r>
    </w:p>
    <w:p w14:paraId="5D2DBA09" w14:textId="4B3BF065" w:rsidR="007E1861" w:rsidRPr="00283657" w:rsidRDefault="004B3BCD" w:rsidP="00CD6E67">
      <w:pPr>
        <w:pStyle w:val="SubmissionNormal"/>
        <w:tabs>
          <w:tab w:val="clear" w:pos="786"/>
        </w:tabs>
        <w:ind w:left="720" w:hanging="720"/>
      </w:pPr>
      <w:r w:rsidRPr="00283657">
        <w:t>The</w:t>
      </w:r>
      <w:r w:rsidR="00557B4B" w:rsidRPr="00283657">
        <w:t xml:space="preserve"> transmission of </w:t>
      </w:r>
      <w:r w:rsidR="00B96CCF">
        <w:t>‘</w:t>
      </w:r>
      <w:r w:rsidR="00557B4B" w:rsidRPr="00283657">
        <w:t>intergenerational trauma</w:t>
      </w:r>
      <w:r w:rsidR="00B96CCF">
        <w:t>’</w:t>
      </w:r>
      <w:r w:rsidR="00557B4B" w:rsidRPr="00283657">
        <w:t xml:space="preserve"> has been a significant outcome of these policies.</w:t>
      </w:r>
      <w:r w:rsidR="003A000D" w:rsidRPr="00283657">
        <w:rPr>
          <w:rStyle w:val="EndnoteReference"/>
          <w:rFonts w:cs="Arial"/>
        </w:rPr>
        <w:endnoteReference w:id="108"/>
      </w:r>
      <w:r w:rsidR="00557B4B" w:rsidRPr="00283657">
        <w:t xml:space="preserve"> </w:t>
      </w:r>
      <w:r w:rsidR="003A000D" w:rsidRPr="00283657">
        <w:t xml:space="preserve">Intergenerational trauma </w:t>
      </w:r>
      <w:r w:rsidR="00F2326E" w:rsidRPr="00283657">
        <w:t xml:space="preserve">refers to the process by which </w:t>
      </w:r>
      <w:r w:rsidR="003A000D" w:rsidRPr="00283657">
        <w:t>historical trauma is transmitted across generations</w:t>
      </w:r>
      <w:r w:rsidR="00283657" w:rsidRPr="00283657">
        <w:t xml:space="preserve">. This can be </w:t>
      </w:r>
      <w:r w:rsidR="003A000D" w:rsidRPr="00283657">
        <w:t xml:space="preserve">transferred from the first generation of survivors that directly </w:t>
      </w:r>
      <w:r w:rsidR="00283657" w:rsidRPr="00283657">
        <w:t>witness or experience</w:t>
      </w:r>
      <w:r w:rsidR="003A000D" w:rsidRPr="00283657">
        <w:t xml:space="preserve"> traumatic events to </w:t>
      </w:r>
      <w:r w:rsidR="00283657" w:rsidRPr="00283657">
        <w:t>subsequent</w:t>
      </w:r>
      <w:r w:rsidR="003A000D" w:rsidRPr="00283657">
        <w:t xml:space="preserve"> generation</w:t>
      </w:r>
      <w:r w:rsidR="00283657" w:rsidRPr="00283657">
        <w:t>s</w:t>
      </w:r>
      <w:r w:rsidR="00F2326E" w:rsidRPr="00283657">
        <w:t>.</w:t>
      </w:r>
      <w:r w:rsidR="003A000D" w:rsidRPr="00283657">
        <w:rPr>
          <w:rStyle w:val="EndnoteReference"/>
          <w:rFonts w:cs="Arial"/>
        </w:rPr>
        <w:endnoteReference w:id="109"/>
      </w:r>
      <w:r w:rsidR="003A000D" w:rsidRPr="00283657">
        <w:t xml:space="preserve"> </w:t>
      </w:r>
    </w:p>
    <w:p w14:paraId="5C09DB05" w14:textId="4D982F3E" w:rsidR="00C33BB5" w:rsidRDefault="00557B4B" w:rsidP="00CD6E67">
      <w:pPr>
        <w:pStyle w:val="SubmissionNormal"/>
        <w:tabs>
          <w:tab w:val="clear" w:pos="786"/>
        </w:tabs>
        <w:ind w:left="720" w:hanging="720"/>
      </w:pPr>
      <w:r w:rsidRPr="00EA34DA">
        <w:lastRenderedPageBreak/>
        <w:t>There is increasing neuro-biological evidence to show that trauma can have a severe ongoing impact on the brain and body, manifesting itself through issues such as family violence, excessive drug and alcohol use, as well as knowledge of parenting itself.</w:t>
      </w:r>
      <w:r w:rsidR="007508FE" w:rsidRPr="00EA34DA">
        <w:rPr>
          <w:rStyle w:val="EndnoteReference"/>
          <w:rFonts w:cs="Arial"/>
        </w:rPr>
        <w:endnoteReference w:id="110"/>
      </w:r>
    </w:p>
    <w:p w14:paraId="303C4D4D" w14:textId="1F8726B9" w:rsidR="00CD6E67" w:rsidRDefault="004A45AD" w:rsidP="00CD6E67">
      <w:pPr>
        <w:pStyle w:val="SubmissionNormal"/>
        <w:tabs>
          <w:tab w:val="clear" w:pos="786"/>
        </w:tabs>
        <w:ind w:left="720" w:hanging="720"/>
      </w:pPr>
      <w:r>
        <w:t>I</w:t>
      </w:r>
      <w:r w:rsidR="00C33BB5" w:rsidRPr="00552E37">
        <w:t>ntergenerational trauma</w:t>
      </w:r>
      <w:r w:rsidR="00557B4B" w:rsidRPr="00552E37">
        <w:t xml:space="preserve"> is a factor that has extended to Aboriginal and Torres Strait Islander peoples wh</w:t>
      </w:r>
      <w:r w:rsidR="00557B4B" w:rsidRPr="0007687E">
        <w:t>o come into contact with child welfare authorities today.</w:t>
      </w:r>
      <w:r w:rsidR="00557B4B" w:rsidRPr="006C1321">
        <w:rPr>
          <w:rStyle w:val="EndnoteReference"/>
          <w:rFonts w:cs="Arial"/>
        </w:rPr>
        <w:endnoteReference w:id="111"/>
      </w:r>
    </w:p>
    <w:p w14:paraId="2865729F" w14:textId="0C05FB65" w:rsidR="00557B4B" w:rsidRDefault="00557B4B" w:rsidP="00CD6E67">
      <w:pPr>
        <w:pStyle w:val="SubmissionNormal"/>
        <w:tabs>
          <w:tab w:val="clear" w:pos="786"/>
        </w:tabs>
        <w:ind w:left="720" w:hanging="720"/>
      </w:pPr>
      <w:r w:rsidRPr="00552E37">
        <w:t xml:space="preserve">It is important to note that there has been very little empirical evidence beyond the </w:t>
      </w:r>
      <w:r w:rsidRPr="00CD6E67">
        <w:rPr>
          <w:i/>
        </w:rPr>
        <w:t xml:space="preserve">Bringing them Home </w:t>
      </w:r>
      <w:r w:rsidR="008130C1">
        <w:t>R</w:t>
      </w:r>
      <w:r w:rsidR="0037660D">
        <w:t>eport</w:t>
      </w:r>
      <w:r w:rsidRPr="00552E37">
        <w:t xml:space="preserve"> about the effects of adoption on Aboriginal </w:t>
      </w:r>
      <w:r w:rsidR="007D40F5" w:rsidRPr="00EA34DA">
        <w:t>and Torres Strait Islander</w:t>
      </w:r>
      <w:r w:rsidR="007D40F5" w:rsidRPr="006C1321">
        <w:t xml:space="preserve"> </w:t>
      </w:r>
      <w:r w:rsidRPr="006C1321">
        <w:t>children. This</w:t>
      </w:r>
      <w:r w:rsidRPr="00C04AF9">
        <w:t xml:space="preserve"> means that caution must be exercised when attempting to extend adoption outcomes</w:t>
      </w:r>
      <w:r w:rsidR="00B96CCF">
        <w:t>,</w:t>
      </w:r>
      <w:r w:rsidRPr="00C04AF9">
        <w:t xml:space="preserve"> for populations with different cultural and historical backgrounds</w:t>
      </w:r>
      <w:r w:rsidR="00B96CCF">
        <w:t>,</w:t>
      </w:r>
      <w:r w:rsidRPr="00C04AF9">
        <w:t xml:space="preserve"> to Aboriginal and Torres Strait Islander children. </w:t>
      </w:r>
    </w:p>
    <w:p w14:paraId="4DC40D1A" w14:textId="37975360" w:rsidR="00CD6E67" w:rsidRDefault="005727B2" w:rsidP="005727B2">
      <w:pPr>
        <w:pStyle w:val="Heading2"/>
        <w:numPr>
          <w:ilvl w:val="0"/>
          <w:numId w:val="0"/>
        </w:numPr>
        <w:ind w:left="851" w:hanging="851"/>
      </w:pPr>
      <w:bookmarkStart w:id="27" w:name="_Toc516142242"/>
      <w:r w:rsidRPr="00552E37">
        <w:t>7.3</w:t>
      </w:r>
      <w:r w:rsidRPr="00552E37">
        <w:tab/>
        <w:t>The Aboriginal and Torres Strait Islander Child Placement Principle:</w:t>
      </w:r>
      <w:r>
        <w:t xml:space="preserve"> I</w:t>
      </w:r>
      <w:r w:rsidRPr="0007687E">
        <w:t>ssues with compliance, identification and placement</w:t>
      </w:r>
      <w:bookmarkEnd w:id="27"/>
    </w:p>
    <w:p w14:paraId="4BEB8A09" w14:textId="41919D8B" w:rsidR="00557B4B" w:rsidRDefault="00557B4B" w:rsidP="005727B2">
      <w:pPr>
        <w:pStyle w:val="SubmissionNormal"/>
        <w:tabs>
          <w:tab w:val="clear" w:pos="786"/>
        </w:tabs>
        <w:ind w:left="720" w:hanging="720"/>
      </w:pPr>
      <w:r w:rsidRPr="006664C9">
        <w:t>Moving beyond existing care options to adoption raises a number of other significant issues</w:t>
      </w:r>
      <w:r w:rsidR="00B96CCF">
        <w:t>,</w:t>
      </w:r>
      <w:r w:rsidRPr="006664C9">
        <w:t xml:space="preserve"> insofar as Aboriginal and Torres Strai</w:t>
      </w:r>
      <w:r w:rsidR="00107E70">
        <w:t>t I</w:t>
      </w:r>
      <w:r w:rsidRPr="006664C9">
        <w:t xml:space="preserve">slander children are concerned. </w:t>
      </w:r>
    </w:p>
    <w:p w14:paraId="3C90A4C2" w14:textId="4AB677F0" w:rsidR="00101B57" w:rsidRDefault="00946458" w:rsidP="005727B2">
      <w:pPr>
        <w:pStyle w:val="SubmissionNormal"/>
        <w:tabs>
          <w:tab w:val="clear" w:pos="786"/>
        </w:tabs>
        <w:ind w:left="720" w:hanging="720"/>
      </w:pPr>
      <w:r>
        <w:t>T</w:t>
      </w:r>
      <w:r w:rsidRPr="00EA34DA">
        <w:t>he Aboriginal and Torres Strait Islander Child Placement Principle (ATSICPP</w:t>
      </w:r>
      <w:r>
        <w:t>)</w:t>
      </w:r>
      <w:r w:rsidR="00101B57">
        <w:t xml:space="preserve"> </w:t>
      </w:r>
      <w:r w:rsidR="003C5DF4">
        <w:t>provides</w:t>
      </w:r>
      <w:r w:rsidR="00531318">
        <w:t xml:space="preserve"> a </w:t>
      </w:r>
      <w:r w:rsidR="00FB775B">
        <w:t>comprehen</w:t>
      </w:r>
      <w:r w:rsidR="00531318">
        <w:t>sive approach to protecting the rights of Aboriginal and Torres Strait Islander children in out</w:t>
      </w:r>
      <w:r w:rsidR="00107E70">
        <w:t>-</w:t>
      </w:r>
      <w:r w:rsidR="00531318">
        <w:t>of</w:t>
      </w:r>
      <w:r w:rsidR="00107E70">
        <w:t>-</w:t>
      </w:r>
      <w:r w:rsidR="00531318">
        <w:t xml:space="preserve">home care. </w:t>
      </w:r>
    </w:p>
    <w:p w14:paraId="535E66CF" w14:textId="0962E8C4" w:rsidR="00EC738B" w:rsidRDefault="00531318" w:rsidP="00EC738B">
      <w:pPr>
        <w:pStyle w:val="SubmissionNormal"/>
        <w:tabs>
          <w:tab w:val="clear" w:pos="786"/>
        </w:tabs>
        <w:ind w:left="720" w:hanging="720"/>
      </w:pPr>
      <w:r>
        <w:t xml:space="preserve">The five elements </w:t>
      </w:r>
      <w:r w:rsidR="003C5DF4">
        <w:t>of the ATSI</w:t>
      </w:r>
      <w:r w:rsidR="00B96CCF">
        <w:t>C</w:t>
      </w:r>
      <w:r w:rsidR="003C5DF4">
        <w:t xml:space="preserve">PP </w:t>
      </w:r>
      <w:r>
        <w:t>are</w:t>
      </w:r>
      <w:r w:rsidR="00557B4B" w:rsidRPr="00EA34DA">
        <w:t>:</w:t>
      </w:r>
      <w:r w:rsidR="00557B4B" w:rsidRPr="00EA34DA">
        <w:rPr>
          <w:rStyle w:val="EndnoteReference"/>
          <w:rFonts w:cs="Arial"/>
          <w:color w:val="000000"/>
        </w:rPr>
        <w:endnoteReference w:id="112"/>
      </w:r>
      <w:r w:rsidR="00557B4B" w:rsidRPr="00EA34DA">
        <w:t xml:space="preserve"> </w:t>
      </w:r>
    </w:p>
    <w:p w14:paraId="4C2B6C02" w14:textId="77777777" w:rsidR="007B05E6" w:rsidRPr="00EA34DA" w:rsidRDefault="007B05E6" w:rsidP="007B05E6">
      <w:pPr>
        <w:numPr>
          <w:ilvl w:val="0"/>
          <w:numId w:val="33"/>
        </w:numPr>
        <w:spacing w:before="100" w:beforeAutospacing="1" w:after="100" w:afterAutospacing="1"/>
        <w:ind w:left="1418" w:hanging="425"/>
        <w:contextualSpacing/>
        <w:rPr>
          <w:rFonts w:cs="Arial"/>
          <w:color w:val="000000"/>
        </w:rPr>
      </w:pPr>
      <w:r w:rsidRPr="00EA34DA">
        <w:rPr>
          <w:rFonts w:cs="Arial"/>
          <w:color w:val="000000"/>
        </w:rPr>
        <w:t>Prevention: Protecting children’s rights to grow up in family, community and culture by redressing the causes of child protection intervention</w:t>
      </w:r>
      <w:r>
        <w:rPr>
          <w:rFonts w:cs="Arial"/>
          <w:color w:val="000000"/>
        </w:rPr>
        <w:t>.</w:t>
      </w:r>
      <w:r w:rsidRPr="00EA34DA">
        <w:rPr>
          <w:rFonts w:cs="Arial"/>
          <w:color w:val="000000"/>
        </w:rPr>
        <w:t xml:space="preserve"> </w:t>
      </w:r>
    </w:p>
    <w:p w14:paraId="38DB7021" w14:textId="77777777" w:rsidR="007B05E6" w:rsidRPr="00EA34DA" w:rsidRDefault="007B05E6" w:rsidP="007B05E6">
      <w:pPr>
        <w:numPr>
          <w:ilvl w:val="0"/>
          <w:numId w:val="33"/>
        </w:numPr>
        <w:spacing w:before="100" w:beforeAutospacing="1" w:after="100" w:afterAutospacing="1"/>
        <w:ind w:left="1418" w:hanging="425"/>
        <w:contextualSpacing/>
        <w:rPr>
          <w:rFonts w:cs="Arial"/>
          <w:color w:val="000000"/>
        </w:rPr>
      </w:pPr>
      <w:r w:rsidRPr="00EA34DA">
        <w:rPr>
          <w:rFonts w:cs="Arial"/>
          <w:color w:val="000000"/>
        </w:rPr>
        <w:t>Partnership: Ensuring the participation of community representatives in service design, delivery and individual case decisions</w:t>
      </w:r>
      <w:r>
        <w:rPr>
          <w:rFonts w:cs="Arial"/>
          <w:color w:val="000000"/>
        </w:rPr>
        <w:t>.</w:t>
      </w:r>
      <w:r w:rsidRPr="00EA34DA">
        <w:rPr>
          <w:rFonts w:cs="Arial"/>
          <w:color w:val="000000"/>
        </w:rPr>
        <w:t xml:space="preserve"> </w:t>
      </w:r>
    </w:p>
    <w:p w14:paraId="55696EF0" w14:textId="77777777" w:rsidR="007B05E6" w:rsidRPr="00EA34DA" w:rsidRDefault="007B05E6" w:rsidP="007B05E6">
      <w:pPr>
        <w:numPr>
          <w:ilvl w:val="0"/>
          <w:numId w:val="33"/>
        </w:numPr>
        <w:spacing w:before="100" w:beforeAutospacing="1" w:after="100" w:afterAutospacing="1"/>
        <w:ind w:left="1418" w:hanging="425"/>
        <w:contextualSpacing/>
        <w:rPr>
          <w:rFonts w:cs="Arial"/>
          <w:color w:val="000000"/>
        </w:rPr>
      </w:pPr>
      <w:r w:rsidRPr="00EA34DA">
        <w:rPr>
          <w:rFonts w:cs="Arial"/>
          <w:color w:val="000000"/>
        </w:rPr>
        <w:t>Connection: Maintaining and supporting connections to family, community, culture and country for children in out-of-home care</w:t>
      </w:r>
      <w:r>
        <w:rPr>
          <w:rFonts w:cs="Arial"/>
          <w:color w:val="000000"/>
        </w:rPr>
        <w:t>.</w:t>
      </w:r>
    </w:p>
    <w:p w14:paraId="48D1DBEE" w14:textId="77777777" w:rsidR="007B05E6" w:rsidRPr="00EA34DA" w:rsidRDefault="007B05E6" w:rsidP="007B05E6">
      <w:pPr>
        <w:numPr>
          <w:ilvl w:val="0"/>
          <w:numId w:val="33"/>
        </w:numPr>
        <w:spacing w:before="100" w:beforeAutospacing="1" w:after="100" w:afterAutospacing="1"/>
        <w:ind w:left="1418" w:hanging="425"/>
        <w:contextualSpacing/>
        <w:rPr>
          <w:rFonts w:cs="Arial"/>
          <w:color w:val="000000"/>
        </w:rPr>
      </w:pPr>
      <w:r w:rsidRPr="00EA34DA">
        <w:rPr>
          <w:rFonts w:cs="Arial"/>
          <w:color w:val="000000"/>
        </w:rPr>
        <w:t>Participation: Ensuring the participation of children, parents and family members in decisions regarding the care and protection of their children</w:t>
      </w:r>
      <w:r>
        <w:rPr>
          <w:rFonts w:cs="Arial"/>
          <w:color w:val="000000"/>
        </w:rPr>
        <w:t>.</w:t>
      </w:r>
    </w:p>
    <w:p w14:paraId="35EF2522" w14:textId="77777777" w:rsidR="007B05E6" w:rsidRPr="00E3236F" w:rsidRDefault="007B05E6" w:rsidP="007B05E6">
      <w:pPr>
        <w:numPr>
          <w:ilvl w:val="0"/>
          <w:numId w:val="33"/>
        </w:numPr>
        <w:spacing w:before="100" w:beforeAutospacing="1" w:after="100" w:afterAutospacing="1"/>
        <w:ind w:left="1418" w:hanging="425"/>
        <w:contextualSpacing/>
        <w:rPr>
          <w:rFonts w:cs="Arial"/>
          <w:color w:val="000000"/>
        </w:rPr>
      </w:pPr>
      <w:r w:rsidRPr="00EA34DA">
        <w:rPr>
          <w:rFonts w:cs="Arial"/>
          <w:color w:val="000000"/>
        </w:rPr>
        <w:t>Placement: Placing children in out-of-home care in accordance with the established ATSICPP placement hierarchy</w:t>
      </w:r>
      <w:r>
        <w:rPr>
          <w:rFonts w:cs="Arial"/>
          <w:color w:val="000000"/>
        </w:rPr>
        <w:t>:</w:t>
      </w:r>
    </w:p>
    <w:p w14:paraId="327063DE" w14:textId="21FD895A" w:rsidR="007B05E6" w:rsidRPr="00EA34DA" w:rsidRDefault="007B05E6" w:rsidP="007B05E6">
      <w:pPr>
        <w:numPr>
          <w:ilvl w:val="0"/>
          <w:numId w:val="34"/>
        </w:numPr>
        <w:spacing w:before="100" w:beforeAutospacing="1" w:after="100" w:afterAutospacing="1"/>
        <w:ind w:left="1701" w:hanging="142"/>
        <w:contextualSpacing/>
        <w:rPr>
          <w:rFonts w:cs="Arial"/>
          <w:color w:val="000000"/>
        </w:rPr>
      </w:pPr>
      <w:r w:rsidRPr="00EA34DA">
        <w:rPr>
          <w:rFonts w:cs="Arial"/>
          <w:color w:val="000000"/>
        </w:rPr>
        <w:t>with Aboriginal or Torres Strait Islander relatives or extended family members, or other relati</w:t>
      </w:r>
      <w:r w:rsidR="003768F3">
        <w:rPr>
          <w:rFonts w:cs="Arial"/>
          <w:color w:val="000000"/>
        </w:rPr>
        <w:t xml:space="preserve">ves or extended family members, </w:t>
      </w:r>
      <w:r w:rsidRPr="00EA34DA">
        <w:rPr>
          <w:rFonts w:cs="Arial"/>
          <w:color w:val="000000"/>
        </w:rPr>
        <w:t>or</w:t>
      </w:r>
    </w:p>
    <w:p w14:paraId="1CB3FF50" w14:textId="6646BB8C" w:rsidR="007B05E6" w:rsidRPr="00EA34DA" w:rsidRDefault="007B05E6" w:rsidP="007B05E6">
      <w:pPr>
        <w:numPr>
          <w:ilvl w:val="0"/>
          <w:numId w:val="34"/>
        </w:numPr>
        <w:spacing w:before="100" w:beforeAutospacing="1" w:after="100" w:afterAutospacing="1"/>
        <w:ind w:left="1701" w:hanging="142"/>
        <w:contextualSpacing/>
        <w:rPr>
          <w:rFonts w:cs="Arial"/>
          <w:color w:val="000000"/>
        </w:rPr>
      </w:pPr>
      <w:r w:rsidRPr="00EA34DA">
        <w:rPr>
          <w:rFonts w:cs="Arial"/>
          <w:color w:val="000000"/>
        </w:rPr>
        <w:t>with Aboriginal or Torres Strait Islander me</w:t>
      </w:r>
      <w:r w:rsidR="003768F3">
        <w:rPr>
          <w:rFonts w:cs="Arial"/>
          <w:color w:val="000000"/>
        </w:rPr>
        <w:t xml:space="preserve">mbers of the child’s community, </w:t>
      </w:r>
      <w:r w:rsidRPr="00EA34DA">
        <w:rPr>
          <w:rFonts w:cs="Arial"/>
          <w:color w:val="000000"/>
        </w:rPr>
        <w:t>or</w:t>
      </w:r>
    </w:p>
    <w:p w14:paraId="4056545D" w14:textId="26AEE63E" w:rsidR="007B05E6" w:rsidRPr="00EA34DA" w:rsidRDefault="007B05E6" w:rsidP="007B05E6">
      <w:pPr>
        <w:numPr>
          <w:ilvl w:val="0"/>
          <w:numId w:val="34"/>
        </w:numPr>
        <w:spacing w:before="100" w:beforeAutospacing="1" w:after="100" w:afterAutospacing="1"/>
        <w:ind w:left="1701" w:hanging="142"/>
        <w:contextualSpacing/>
        <w:rPr>
          <w:rFonts w:cs="Arial"/>
          <w:color w:val="000000"/>
        </w:rPr>
      </w:pPr>
      <w:r w:rsidRPr="00EA34DA">
        <w:rPr>
          <w:rFonts w:cs="Arial"/>
          <w:color w:val="000000"/>
        </w:rPr>
        <w:t>with Aboriginal or Torres Stra</w:t>
      </w:r>
      <w:r>
        <w:rPr>
          <w:rFonts w:cs="Arial"/>
          <w:color w:val="000000"/>
        </w:rPr>
        <w:t>it Islander family-based carers</w:t>
      </w:r>
      <w:r w:rsidR="003768F3">
        <w:rPr>
          <w:rFonts w:cs="Arial"/>
          <w:color w:val="000000"/>
        </w:rPr>
        <w:t>.</w:t>
      </w:r>
    </w:p>
    <w:p w14:paraId="4AEF4562" w14:textId="4DFE032B" w:rsidR="007B05E6" w:rsidRDefault="003768F3" w:rsidP="007B05E6">
      <w:pPr>
        <w:numPr>
          <w:ilvl w:val="0"/>
          <w:numId w:val="34"/>
        </w:numPr>
        <w:spacing w:before="100" w:beforeAutospacing="1" w:after="100" w:afterAutospacing="1"/>
        <w:ind w:left="1701" w:hanging="142"/>
        <w:contextualSpacing/>
        <w:rPr>
          <w:rFonts w:cs="Arial"/>
          <w:color w:val="000000"/>
        </w:rPr>
      </w:pPr>
      <w:r>
        <w:rPr>
          <w:rFonts w:cs="Arial"/>
          <w:color w:val="000000"/>
        </w:rPr>
        <w:t>I</w:t>
      </w:r>
      <w:r w:rsidR="007B05E6" w:rsidRPr="00EA34DA">
        <w:rPr>
          <w:rFonts w:cs="Arial"/>
          <w:color w:val="000000"/>
        </w:rPr>
        <w:t>f the above preferred options are not available, as a last reso</w:t>
      </w:r>
      <w:r w:rsidR="007B05E6">
        <w:rPr>
          <w:rFonts w:cs="Arial"/>
          <w:color w:val="000000"/>
        </w:rPr>
        <w:t xml:space="preserve">rt the child may be placed with </w:t>
      </w:r>
      <w:r w:rsidR="007B05E6" w:rsidRPr="002C12A3">
        <w:rPr>
          <w:rFonts w:cs="Arial"/>
          <w:color w:val="000000"/>
        </w:rPr>
        <w:t>a non-Indigenous carer or in a residential setting.</w:t>
      </w:r>
    </w:p>
    <w:p w14:paraId="10C41FF4" w14:textId="5733C1A1" w:rsidR="003E0408" w:rsidRPr="00AB45F7" w:rsidRDefault="007B05E6" w:rsidP="007B05E6">
      <w:pPr>
        <w:numPr>
          <w:ilvl w:val="0"/>
          <w:numId w:val="34"/>
        </w:numPr>
        <w:spacing w:before="100" w:beforeAutospacing="1" w:after="100" w:afterAutospacing="1"/>
        <w:ind w:left="1701" w:hanging="142"/>
        <w:contextualSpacing/>
        <w:rPr>
          <w:rFonts w:cs="Arial"/>
          <w:color w:val="000000"/>
        </w:rPr>
      </w:pPr>
      <w:r w:rsidRPr="00BF1271">
        <w:rPr>
          <w:rFonts w:cs="Arial"/>
          <w:color w:val="000000"/>
        </w:rPr>
        <w:lastRenderedPageBreak/>
        <w:t xml:space="preserve">If </w:t>
      </w:r>
      <w:r w:rsidRPr="00BF1271">
        <w:rPr>
          <w:rFonts w:cs="Arial"/>
        </w:rPr>
        <w:t>the</w:t>
      </w:r>
      <w:r w:rsidRPr="00BF1271">
        <w:rPr>
          <w:rFonts w:cs="Arial"/>
          <w:color w:val="000000"/>
        </w:rPr>
        <w:t xml:space="preserve"> child is not placed with their extended Aboriginal or Torres Strait Islander family, the placement must be within close geographic proximity to the child’s family.</w:t>
      </w:r>
    </w:p>
    <w:p w14:paraId="53A87FEF" w14:textId="1A9219CD" w:rsidR="00816321" w:rsidRDefault="00322A42" w:rsidP="00AB45F7">
      <w:pPr>
        <w:pStyle w:val="SubmissionNormal"/>
        <w:tabs>
          <w:tab w:val="clear" w:pos="786"/>
        </w:tabs>
        <w:ind w:left="720" w:hanging="720"/>
      </w:pPr>
      <w:r>
        <w:t xml:space="preserve">Whilst there have been </w:t>
      </w:r>
      <w:r w:rsidRPr="00101B57">
        <w:t xml:space="preserve">strong </w:t>
      </w:r>
      <w:r>
        <w:t xml:space="preserve">statements of commitment to the ATSICPP by various Australian governments, experience </w:t>
      </w:r>
      <w:r w:rsidRPr="00101B57">
        <w:t xml:space="preserve">has shown this has not been </w:t>
      </w:r>
      <w:r>
        <w:t>fully translated into child welfare legislation</w:t>
      </w:r>
      <w:r w:rsidR="00144912">
        <w:t>,</w:t>
      </w:r>
      <w:r>
        <w:t xml:space="preserve"> which has tended to</w:t>
      </w:r>
      <w:r w:rsidRPr="00101B57">
        <w:t xml:space="preserve"> emphasis</w:t>
      </w:r>
      <w:r>
        <w:t>e</w:t>
      </w:r>
      <w:r w:rsidRPr="00101B57">
        <w:t xml:space="preserve"> </w:t>
      </w:r>
      <w:r>
        <w:t xml:space="preserve">the </w:t>
      </w:r>
      <w:r w:rsidRPr="00101B57">
        <w:t>placement</w:t>
      </w:r>
      <w:r>
        <w:t xml:space="preserve"> hierarchy</w:t>
      </w:r>
      <w:r w:rsidRPr="00101B57">
        <w:t xml:space="preserve"> to the exclusion of the other elements of the ATSICPP.  </w:t>
      </w:r>
    </w:p>
    <w:p w14:paraId="52BEF2BA" w14:textId="2272F69B" w:rsidR="00965FB3" w:rsidRDefault="00B30CB7" w:rsidP="00AB45F7">
      <w:pPr>
        <w:pStyle w:val="SubmissionNormal"/>
        <w:tabs>
          <w:tab w:val="clear" w:pos="786"/>
        </w:tabs>
        <w:ind w:left="720" w:hanging="720"/>
      </w:pPr>
      <w:r w:rsidRPr="00816321">
        <w:t>The placement hierarchy has been introduced into Australian adoption legislation to varying extents and effects. For example, research from the Queensland Commission for Children and Young People and Child Guardian suggests that the placement hierarchy is only being fully applied in as few as 13% of matters.</w:t>
      </w:r>
      <w:r>
        <w:rPr>
          <w:rStyle w:val="EndnoteReference"/>
          <w:rFonts w:cs="Arial"/>
        </w:rPr>
        <w:endnoteReference w:id="113"/>
      </w:r>
      <w:r w:rsidRPr="00816321">
        <w:t xml:space="preserve">  </w:t>
      </w:r>
    </w:p>
    <w:p w14:paraId="127CF382" w14:textId="77777777" w:rsidR="00AB45F7" w:rsidRDefault="008F099F" w:rsidP="00AB45F7">
      <w:pPr>
        <w:pStyle w:val="SubmissionNormal"/>
        <w:tabs>
          <w:tab w:val="clear" w:pos="786"/>
        </w:tabs>
        <w:ind w:left="720" w:hanging="720"/>
      </w:pPr>
      <w:r w:rsidRPr="00F02CF1">
        <w:t>Furthermore, recent reviews of adoption legislation in Victoria suggest that, notwithstanding issues with compliance, these provisions ‘provide relatively weak protection for a child’s cultural connections’.</w:t>
      </w:r>
      <w:r w:rsidR="00120E0A">
        <w:rPr>
          <w:rStyle w:val="EndnoteReference"/>
          <w:rFonts w:cs="Arial"/>
        </w:rPr>
        <w:endnoteReference w:id="114"/>
      </w:r>
      <w:r w:rsidRPr="00F02CF1">
        <w:t xml:space="preserve"> </w:t>
      </w:r>
    </w:p>
    <w:p w14:paraId="339DF4BD" w14:textId="35B6DFBF" w:rsidR="00AB45F7" w:rsidRPr="00E42547" w:rsidRDefault="0044717C" w:rsidP="00AB45F7">
      <w:pPr>
        <w:pStyle w:val="SubmissionNormal"/>
        <w:tabs>
          <w:tab w:val="clear" w:pos="786"/>
        </w:tabs>
        <w:ind w:left="720" w:hanging="720"/>
      </w:pPr>
      <w:r w:rsidRPr="00E42547">
        <w:t>Whilst much remains to be done to fully implement the ATSICPP across law and practice, statistics show that 66% of Indigenous children had been placed with Indigenous carers in 2015-16 in accordance with the principle</w:t>
      </w:r>
      <w:r w:rsidR="00B30CB7" w:rsidRPr="00E42547">
        <w:t>.</w:t>
      </w:r>
      <w:r w:rsidR="00B30CB7" w:rsidRPr="00E42547">
        <w:rPr>
          <w:rStyle w:val="EndnoteReference"/>
          <w:rFonts w:cs="Arial"/>
        </w:rPr>
        <w:endnoteReference w:id="115"/>
      </w:r>
    </w:p>
    <w:p w14:paraId="3B8CE10D" w14:textId="47FEFDBB" w:rsidR="005821BB" w:rsidRDefault="005821BB" w:rsidP="00AB45F7">
      <w:pPr>
        <w:pStyle w:val="SubmissionNormal"/>
        <w:tabs>
          <w:tab w:val="clear" w:pos="786"/>
        </w:tabs>
        <w:ind w:left="720" w:hanging="720"/>
      </w:pPr>
      <w:r w:rsidRPr="00552E37">
        <w:t xml:space="preserve">The early and accurate identification of </w:t>
      </w:r>
      <w:r>
        <w:t xml:space="preserve">Aboriginal and Torres Strait Islander </w:t>
      </w:r>
      <w:r w:rsidRPr="00552E37">
        <w:t>children is a clear priority within this context</w:t>
      </w:r>
      <w:r>
        <w:t>,</w:t>
      </w:r>
      <w:r w:rsidRPr="00552E37">
        <w:t xml:space="preserve"> as is the strengthening and compliance of legislation in relation to the application of the ATSICPP. </w:t>
      </w:r>
      <w:r w:rsidRPr="00EA34DA">
        <w:t>The ATSCIPP must be fully implemented within the context of adoption and the broader child welfare system in order to ensure that every Aboriginal and Torres Strait Islander child is able to be safe and thrive in family, community and culture.</w:t>
      </w:r>
      <w:r w:rsidRPr="00EA34DA">
        <w:rPr>
          <w:rStyle w:val="EndnoteReference"/>
          <w:rFonts w:cs="Arial"/>
        </w:rPr>
        <w:endnoteReference w:id="116"/>
      </w:r>
    </w:p>
    <w:p w14:paraId="1C58BBBD" w14:textId="7CA79C48" w:rsidR="00AB45F7" w:rsidRDefault="00CD0F79" w:rsidP="00CD0F79">
      <w:pPr>
        <w:pStyle w:val="Heading2"/>
        <w:numPr>
          <w:ilvl w:val="0"/>
          <w:numId w:val="0"/>
        </w:numPr>
        <w:ind w:left="851" w:hanging="851"/>
      </w:pPr>
      <w:bookmarkStart w:id="28" w:name="_Toc516142243"/>
      <w:r w:rsidRPr="006C1321">
        <w:t>7.4</w:t>
      </w:r>
      <w:r w:rsidRPr="006C1321">
        <w:tab/>
        <w:t>Financial and cultural support, carer shortages and lack of   oversight</w:t>
      </w:r>
      <w:bookmarkEnd w:id="28"/>
    </w:p>
    <w:p w14:paraId="2F821A8C" w14:textId="232F08CA" w:rsidR="00557B4B" w:rsidRDefault="00076E99" w:rsidP="00CD0F79">
      <w:pPr>
        <w:pStyle w:val="SubmissionNormal"/>
        <w:tabs>
          <w:tab w:val="clear" w:pos="786"/>
        </w:tabs>
        <w:ind w:left="720" w:hanging="720"/>
      </w:pPr>
      <w:r>
        <w:t>Adoption poses a number of</w:t>
      </w:r>
      <w:r w:rsidR="00557B4B" w:rsidRPr="00552E37">
        <w:t xml:space="preserve"> additional areas of concern for Aboriginal and Torres Strait Islander children. </w:t>
      </w:r>
    </w:p>
    <w:p w14:paraId="2D414666" w14:textId="7966D49D" w:rsidR="00557B4B" w:rsidRDefault="00557B4B" w:rsidP="00CD0F79">
      <w:pPr>
        <w:pStyle w:val="SubmissionNormal"/>
        <w:tabs>
          <w:tab w:val="clear" w:pos="786"/>
        </w:tabs>
        <w:ind w:left="720" w:hanging="720"/>
      </w:pPr>
      <w:r w:rsidRPr="0007687E">
        <w:t xml:space="preserve">Chief among these is the lack of oversight associated with adoption orders, which means that there are limited safeguards in place to prevent further exposure to abuse and </w:t>
      </w:r>
      <w:r w:rsidR="00BF1271">
        <w:t xml:space="preserve">to ensure appropriate </w:t>
      </w:r>
      <w:r w:rsidRPr="0007687E">
        <w:t>compliance</w:t>
      </w:r>
      <w:r w:rsidRPr="00EE0A80">
        <w:t xml:space="preserve"> with the cultural rights of Aboriginal children such as those prescribed through legislation enshrining the ATSICPP.</w:t>
      </w:r>
    </w:p>
    <w:p w14:paraId="3C369338" w14:textId="73783C3B" w:rsidR="00557B4B" w:rsidRDefault="00557B4B" w:rsidP="00CD0F79">
      <w:pPr>
        <w:pStyle w:val="SubmissionNormal"/>
        <w:tabs>
          <w:tab w:val="clear" w:pos="786"/>
        </w:tabs>
        <w:ind w:left="720" w:hanging="720"/>
      </w:pPr>
      <w:r w:rsidRPr="00EE0A80">
        <w:t>Closely linked to this issue is the compound</w:t>
      </w:r>
      <w:r w:rsidR="00352795">
        <w:t>ing</w:t>
      </w:r>
      <w:r w:rsidRPr="00EE0A80">
        <w:t xml:space="preserve"> effect of separating siblings where a prospective adoptive parent is unable to accommodate all children.</w:t>
      </w:r>
    </w:p>
    <w:p w14:paraId="14BA8EDB" w14:textId="3C6ECFDD" w:rsidR="00557B4B" w:rsidRDefault="00557B4B" w:rsidP="00990A8A">
      <w:pPr>
        <w:pStyle w:val="SubmissionNormal"/>
        <w:tabs>
          <w:tab w:val="clear" w:pos="786"/>
        </w:tabs>
        <w:ind w:left="720" w:hanging="720"/>
      </w:pPr>
      <w:r w:rsidRPr="00EE0A80">
        <w:t>Given the lack of financial support that often distinguishes adoption from other types of care orders, this is likely to affect the ability of sibling groups to remain connected and act</w:t>
      </w:r>
      <w:r w:rsidR="00352795">
        <w:t>s</w:t>
      </w:r>
      <w:r w:rsidRPr="00EE0A80">
        <w:t xml:space="preserve"> as an additional barrier for Aboriginal and Torres Strait Islander peoples who wish to adopt.</w:t>
      </w:r>
    </w:p>
    <w:p w14:paraId="54073449" w14:textId="0C26A7F1" w:rsidR="00557B4B" w:rsidRDefault="00260ACF" w:rsidP="00990A8A">
      <w:pPr>
        <w:pStyle w:val="SubmissionNormal"/>
        <w:tabs>
          <w:tab w:val="clear" w:pos="786"/>
        </w:tabs>
        <w:ind w:left="720" w:hanging="720"/>
      </w:pPr>
      <w:r>
        <w:lastRenderedPageBreak/>
        <w:t xml:space="preserve">There are </w:t>
      </w:r>
      <w:r w:rsidR="00557B4B" w:rsidRPr="00EE0A80">
        <w:t>significant questions about how the complex needs of adoptees will be met, given what is known about the developmental support needed for Aboriginal and Torres Strait Islander children in care, and particularly those with a significant history of maltreatment.</w:t>
      </w:r>
      <w:r w:rsidR="00557B4B" w:rsidRPr="001F0D3A">
        <w:rPr>
          <w:rStyle w:val="EndnoteReference"/>
          <w:rFonts w:cs="Arial"/>
        </w:rPr>
        <w:endnoteReference w:id="117"/>
      </w:r>
      <w:r w:rsidR="00557B4B" w:rsidRPr="001F0D3A">
        <w:t xml:space="preserve"> </w:t>
      </w:r>
    </w:p>
    <w:p w14:paraId="11C6D119" w14:textId="71BCE35C" w:rsidR="00557B4B" w:rsidRDefault="00763E47" w:rsidP="00D73F18">
      <w:pPr>
        <w:pStyle w:val="SubmissionNormal"/>
        <w:tabs>
          <w:tab w:val="clear" w:pos="786"/>
        </w:tabs>
        <w:ind w:left="720" w:hanging="720"/>
      </w:pPr>
      <w:r>
        <w:t>T</w:t>
      </w:r>
      <w:r w:rsidR="00557B4B" w:rsidRPr="001F0D3A">
        <w:t xml:space="preserve">he Royal Commission into Child Protection Systems in South Australia </w:t>
      </w:r>
      <w:r>
        <w:t xml:space="preserve">also </w:t>
      </w:r>
      <w:r w:rsidR="00557B4B" w:rsidRPr="001F0D3A">
        <w:t>recently noted:</w:t>
      </w:r>
    </w:p>
    <w:p w14:paraId="766B225A" w14:textId="5BBE0512" w:rsidR="00D73F18" w:rsidRPr="00066AAD" w:rsidRDefault="00066AAD" w:rsidP="00066AAD">
      <w:pPr>
        <w:ind w:left="993"/>
        <w:rPr>
          <w:sz w:val="22"/>
          <w:szCs w:val="22"/>
        </w:rPr>
      </w:pPr>
      <w:r w:rsidRPr="00066AAD">
        <w:rPr>
          <w:sz w:val="22"/>
          <w:szCs w:val="22"/>
        </w:rPr>
        <w:t>Adoption is no panacea for the current shortage of suitable care placements for children who cannot remain with their families of origin. The fact that there is a cohort of families who are interested in starting or growing their families through local adoption, and who may relieve placement pressure in the care system, is irrelevant to the question of a child’s best interest.</w:t>
      </w:r>
      <w:r w:rsidRPr="00066AAD">
        <w:rPr>
          <w:rStyle w:val="EndnoteReference"/>
          <w:rFonts w:cs="Arial"/>
          <w:szCs w:val="20"/>
        </w:rPr>
        <w:endnoteReference w:id="118"/>
      </w:r>
      <w:r w:rsidRPr="00066AAD">
        <w:rPr>
          <w:sz w:val="20"/>
          <w:szCs w:val="20"/>
        </w:rPr>
        <w:t xml:space="preserve"> </w:t>
      </w:r>
    </w:p>
    <w:p w14:paraId="0D5D8367" w14:textId="4DF8F6C9" w:rsidR="00557B4B" w:rsidRDefault="00557B4B" w:rsidP="0072369D">
      <w:pPr>
        <w:pStyle w:val="SubmissionNormal"/>
        <w:tabs>
          <w:tab w:val="clear" w:pos="786"/>
        </w:tabs>
        <w:ind w:left="720" w:hanging="720"/>
      </w:pPr>
      <w:r w:rsidRPr="001F0D3A">
        <w:t xml:space="preserve">These issues raise a number of concerns with how an adoption framework will meet the developmental, cultural and physical needs of a child to promote their safety, welfare and wellbeing. </w:t>
      </w:r>
    </w:p>
    <w:p w14:paraId="63205176" w14:textId="2693B294" w:rsidR="0072369D" w:rsidRDefault="001E4FB1" w:rsidP="001E4FB1">
      <w:pPr>
        <w:pStyle w:val="Heading2"/>
        <w:numPr>
          <w:ilvl w:val="1"/>
          <w:numId w:val="35"/>
        </w:numPr>
      </w:pPr>
      <w:bookmarkStart w:id="29" w:name="_Toc516142244"/>
      <w:r w:rsidRPr="001F0D3A">
        <w:t>Safeguarding Aboriginal and Torres Strait Islander children</w:t>
      </w:r>
      <w:bookmarkEnd w:id="29"/>
    </w:p>
    <w:p w14:paraId="54413498" w14:textId="0822987B" w:rsidR="00FF460C" w:rsidRDefault="00FF460C" w:rsidP="001E4FB1">
      <w:pPr>
        <w:pStyle w:val="SubmissionNormal"/>
        <w:tabs>
          <w:tab w:val="clear" w:pos="786"/>
        </w:tabs>
        <w:ind w:left="720" w:hanging="720"/>
      </w:pPr>
      <w:r w:rsidRPr="001F0D3A">
        <w:t>With the nu</w:t>
      </w:r>
      <w:r w:rsidR="00E9687E">
        <w:t>mber</w:t>
      </w:r>
      <w:r w:rsidRPr="001F0D3A">
        <w:t xml:space="preserve"> of Aboriginal and Torres Strait Islander children entering care each year significantly higher than at the time of the </w:t>
      </w:r>
      <w:r w:rsidRPr="001E4FB1">
        <w:rPr>
          <w:i/>
        </w:rPr>
        <w:t>Bringing them Home</w:t>
      </w:r>
      <w:r w:rsidR="004413E2">
        <w:t xml:space="preserve"> R</w:t>
      </w:r>
      <w:r w:rsidRPr="001F0D3A">
        <w:t xml:space="preserve">eport, it is clear that urgent action </w:t>
      </w:r>
      <w:r w:rsidRPr="006C1321">
        <w:t>is required to address the contact between families and the child welfare system</w:t>
      </w:r>
      <w:r w:rsidR="0019737F">
        <w:t>.</w:t>
      </w:r>
      <w:r w:rsidRPr="00EA34DA">
        <w:rPr>
          <w:rStyle w:val="EndnoteReference"/>
          <w:rFonts w:cs="Arial"/>
        </w:rPr>
        <w:endnoteReference w:id="119"/>
      </w:r>
    </w:p>
    <w:p w14:paraId="648B97CA" w14:textId="5A127ED3" w:rsidR="00FF460C" w:rsidRDefault="00FF460C" w:rsidP="001E4FB1">
      <w:pPr>
        <w:pStyle w:val="SubmissionNormal"/>
        <w:tabs>
          <w:tab w:val="clear" w:pos="786"/>
        </w:tabs>
        <w:ind w:left="720" w:hanging="720"/>
      </w:pPr>
      <w:r w:rsidRPr="00552E37">
        <w:t xml:space="preserve">It is disappointing that decades of reports and </w:t>
      </w:r>
      <w:r w:rsidR="00E16475" w:rsidRPr="00552E37">
        <w:t>inquiries, which have emphasised greater self-determination and investment in early intervention,</w:t>
      </w:r>
      <w:r w:rsidRPr="00552E37">
        <w:t xml:space="preserve"> have gone unimplemented. This includes the cornerstone recommendation of the </w:t>
      </w:r>
      <w:r w:rsidRPr="001E4FB1">
        <w:rPr>
          <w:i/>
        </w:rPr>
        <w:t>Bringing them Home</w:t>
      </w:r>
      <w:r w:rsidR="000D4808">
        <w:t xml:space="preserve"> R</w:t>
      </w:r>
      <w:r w:rsidRPr="00552E37">
        <w:t>eport</w:t>
      </w:r>
      <w:r w:rsidR="00352795">
        <w:t>,</w:t>
      </w:r>
      <w:r w:rsidRPr="00552E37">
        <w:t xml:space="preserve"> which emphasised the need for Aboriginal and Torres Strait Islander people</w:t>
      </w:r>
      <w:r w:rsidR="00E16475">
        <w:t>s</w:t>
      </w:r>
      <w:r w:rsidRPr="00552E37">
        <w:t xml:space="preserve"> to have greater self-determinatio</w:t>
      </w:r>
      <w:r w:rsidR="000D4808">
        <w:t>n in matters involving the well</w:t>
      </w:r>
      <w:r w:rsidRPr="00552E37">
        <w:t>being of Indigenous children and young peop</w:t>
      </w:r>
      <w:r w:rsidRPr="0007687E">
        <w:t>le.</w:t>
      </w:r>
      <w:r w:rsidRPr="006C1321">
        <w:rPr>
          <w:rStyle w:val="EndnoteReference"/>
          <w:rFonts w:eastAsia="MS Mincho" w:cs="Arial"/>
        </w:rPr>
        <w:endnoteReference w:id="120"/>
      </w:r>
      <w:r w:rsidRPr="006C1321">
        <w:t xml:space="preserve">  </w:t>
      </w:r>
    </w:p>
    <w:p w14:paraId="5A4B01CA" w14:textId="53BF1B47" w:rsidR="00FF460C" w:rsidRDefault="00FF460C" w:rsidP="001E4FB1">
      <w:pPr>
        <w:pStyle w:val="SubmissionNormal"/>
        <w:tabs>
          <w:tab w:val="clear" w:pos="786"/>
        </w:tabs>
        <w:ind w:left="720" w:hanging="720"/>
      </w:pPr>
      <w:r w:rsidRPr="00552E37">
        <w:t>Aboriginal and Torres Strait islander peoples and their organisations have long expressed a right to self-determination in a manner consistent with international law, to enable them to have a greater say and control over matters that affect them.</w:t>
      </w:r>
      <w:r w:rsidRPr="006C1321">
        <w:rPr>
          <w:rStyle w:val="EndnoteReference"/>
          <w:rFonts w:eastAsia="MS Mincho" w:cs="Arial"/>
        </w:rPr>
        <w:endnoteReference w:id="121"/>
      </w:r>
      <w:r w:rsidRPr="006C1321">
        <w:t xml:space="preserve"> </w:t>
      </w:r>
    </w:p>
    <w:p w14:paraId="0A908152" w14:textId="4788A20F" w:rsidR="00FF460C" w:rsidRDefault="00FF460C" w:rsidP="001E4FB1">
      <w:pPr>
        <w:pStyle w:val="SubmissionNormal"/>
        <w:tabs>
          <w:tab w:val="clear" w:pos="786"/>
        </w:tabs>
        <w:ind w:left="720" w:hanging="720"/>
      </w:pPr>
      <w:r w:rsidRPr="00552E37">
        <w:t xml:space="preserve">Any steps to resolve the human rights challenges facing Aboriginal and Torres Strait Islander peoples, particularly in the child welfare space, must address this fundamental gap. </w:t>
      </w:r>
    </w:p>
    <w:p w14:paraId="209DDD54" w14:textId="4FD21B72" w:rsidR="00FF460C" w:rsidRDefault="002306B0" w:rsidP="001E4FB1">
      <w:pPr>
        <w:pStyle w:val="SubmissionNormal"/>
        <w:tabs>
          <w:tab w:val="clear" w:pos="786"/>
        </w:tabs>
        <w:ind w:left="720" w:hanging="720"/>
      </w:pPr>
      <w:r>
        <w:t>T</w:t>
      </w:r>
      <w:r w:rsidR="00FF460C" w:rsidRPr="00C15DA7">
        <w:t xml:space="preserve">here must be acknowledgment that adoption is </w:t>
      </w:r>
      <w:r w:rsidR="00352795">
        <w:t>only</w:t>
      </w:r>
      <w:r w:rsidR="00352795" w:rsidRPr="00C15DA7">
        <w:t xml:space="preserve"> </w:t>
      </w:r>
      <w:r w:rsidR="00FF460C" w:rsidRPr="00C15DA7">
        <w:t xml:space="preserve">one way to </w:t>
      </w:r>
      <w:r>
        <w:t>achieve stability and permanency</w:t>
      </w:r>
      <w:r w:rsidR="00FF460C" w:rsidRPr="00C15DA7">
        <w:t xml:space="preserve"> for children and that such measures are likely to have a disproportionate effect on Aboriginal and Torres Strait Islander children. </w:t>
      </w:r>
    </w:p>
    <w:p w14:paraId="3B0CEBFD" w14:textId="0ABFF312" w:rsidR="007405EC" w:rsidRDefault="007405EC" w:rsidP="001E4FB1">
      <w:pPr>
        <w:pStyle w:val="SubmissionNormal"/>
        <w:tabs>
          <w:tab w:val="clear" w:pos="786"/>
        </w:tabs>
        <w:ind w:left="720" w:hanging="720"/>
      </w:pPr>
      <w:r>
        <w:t xml:space="preserve">The </w:t>
      </w:r>
      <w:r w:rsidR="00D65731">
        <w:rPr>
          <w:i/>
        </w:rPr>
        <w:t>Bringing t</w:t>
      </w:r>
      <w:r w:rsidR="00763E47" w:rsidRPr="001E4FB1">
        <w:rPr>
          <w:i/>
        </w:rPr>
        <w:t>hem Home</w:t>
      </w:r>
      <w:r w:rsidR="00763E47">
        <w:t xml:space="preserve"> Report recommended that the adoption of Aboriginal and Torres Strait Islander children should generally be viewed as an option of last resort</w:t>
      </w:r>
      <w:r w:rsidR="00487EA8">
        <w:t xml:space="preserve"> and</w:t>
      </w:r>
      <w:r w:rsidR="00763E47">
        <w:t xml:space="preserve"> subject to stringent oversight </w:t>
      </w:r>
      <w:r w:rsidR="00763E47">
        <w:lastRenderedPageBreak/>
        <w:t>and protections.</w:t>
      </w:r>
      <w:r w:rsidR="00763E47">
        <w:rPr>
          <w:rStyle w:val="EndnoteReference"/>
          <w:rFonts w:cs="Arial"/>
        </w:rPr>
        <w:endnoteReference w:id="122"/>
      </w:r>
      <w:r w:rsidR="00763E47">
        <w:t xml:space="preserve"> The </w:t>
      </w:r>
      <w:r>
        <w:t xml:space="preserve">Commission </w:t>
      </w:r>
      <w:r w:rsidR="00763E47">
        <w:t>considers</w:t>
      </w:r>
      <w:r>
        <w:t xml:space="preserve"> that</w:t>
      </w:r>
      <w:r w:rsidR="00BB1CE1">
        <w:t xml:space="preserve">, </w:t>
      </w:r>
      <w:r w:rsidR="00763E47">
        <w:t>in general</w:t>
      </w:r>
      <w:r w:rsidR="0006222B">
        <w:t xml:space="preserve">, </w:t>
      </w:r>
      <w:r w:rsidR="00763E47">
        <w:t>placements</w:t>
      </w:r>
      <w:r w:rsidR="004826A8">
        <w:t xml:space="preserve"> other than adoption</w:t>
      </w:r>
      <w:r w:rsidR="00352795">
        <w:t>,</w:t>
      </w:r>
      <w:r w:rsidR="004826A8">
        <w:t xml:space="preserve"> </w:t>
      </w:r>
      <w:r w:rsidR="008B6EDD">
        <w:t xml:space="preserve">which provide for </w:t>
      </w:r>
      <w:r w:rsidR="00BB1CE1">
        <w:t>stability and attachment as well as cultural identity and connection</w:t>
      </w:r>
      <w:r w:rsidR="00352795">
        <w:t>,</w:t>
      </w:r>
      <w:r w:rsidR="00BB1CE1">
        <w:t xml:space="preserve"> </w:t>
      </w:r>
      <w:r w:rsidR="00763E47">
        <w:t>should be priorit</w:t>
      </w:r>
      <w:r w:rsidR="00DE7D46">
        <w:t>ised</w:t>
      </w:r>
      <w:r w:rsidR="00763E47">
        <w:t xml:space="preserve"> for </w:t>
      </w:r>
      <w:r>
        <w:t>Aboriginal and Torres Strait Islander children</w:t>
      </w:r>
      <w:r w:rsidR="00763E47">
        <w:t>.</w:t>
      </w:r>
    </w:p>
    <w:p w14:paraId="29768719" w14:textId="7C27C75B" w:rsidR="00574930" w:rsidRDefault="00FF460C" w:rsidP="004413E2">
      <w:pPr>
        <w:pStyle w:val="SubmissionNormal"/>
        <w:tabs>
          <w:tab w:val="clear" w:pos="786"/>
        </w:tabs>
        <w:spacing w:after="120"/>
        <w:ind w:left="720" w:hanging="720"/>
      </w:pPr>
      <w:r w:rsidRPr="00C15DA7">
        <w:t xml:space="preserve">When making decisions in regard to adoption, the Commission </w:t>
      </w:r>
      <w:r w:rsidR="00BF1271">
        <w:t>notes</w:t>
      </w:r>
      <w:r w:rsidRPr="00C15DA7">
        <w:t xml:space="preserve"> the following principles: </w:t>
      </w:r>
    </w:p>
    <w:p w14:paraId="540D9892" w14:textId="77777777" w:rsidR="00F62603" w:rsidRPr="00C15DA7" w:rsidRDefault="00F62603" w:rsidP="00EC6880">
      <w:pPr>
        <w:pStyle w:val="SubmissionNormal"/>
        <w:numPr>
          <w:ilvl w:val="1"/>
          <w:numId w:val="15"/>
        </w:numPr>
        <w:spacing w:before="120" w:after="120"/>
        <w:rPr>
          <w:rFonts w:cs="Arial"/>
        </w:rPr>
      </w:pPr>
      <w:r>
        <w:rPr>
          <w:rFonts w:cs="Arial"/>
        </w:rPr>
        <w:t xml:space="preserve">In determining the </w:t>
      </w:r>
      <w:r w:rsidRPr="00C15DA7">
        <w:rPr>
          <w:rFonts w:cs="Arial"/>
        </w:rPr>
        <w:t xml:space="preserve">best interests </w:t>
      </w:r>
      <w:r>
        <w:rPr>
          <w:rFonts w:cs="Arial"/>
        </w:rPr>
        <w:t>of the child, the following factors relating to connection to</w:t>
      </w:r>
      <w:r w:rsidRPr="00C15DA7">
        <w:rPr>
          <w:rFonts w:cs="Arial"/>
        </w:rPr>
        <w:t xml:space="preserve"> culture</w:t>
      </w:r>
      <w:r>
        <w:rPr>
          <w:rFonts w:cs="Arial"/>
        </w:rPr>
        <w:t xml:space="preserve"> should be taken into account:</w:t>
      </w:r>
      <w:r w:rsidRPr="00C15DA7">
        <w:rPr>
          <w:rStyle w:val="EndnoteReference"/>
          <w:rFonts w:cs="Arial"/>
        </w:rPr>
        <w:endnoteReference w:id="123"/>
      </w:r>
    </w:p>
    <w:p w14:paraId="28A3043A" w14:textId="42A8AA0B" w:rsidR="00F62603" w:rsidRPr="00C15DA7" w:rsidRDefault="00F62603" w:rsidP="00EC6880">
      <w:pPr>
        <w:pStyle w:val="SubmissionNormal"/>
        <w:numPr>
          <w:ilvl w:val="2"/>
          <w:numId w:val="15"/>
        </w:numPr>
        <w:spacing w:before="120" w:after="120"/>
        <w:rPr>
          <w:rFonts w:cs="Arial"/>
        </w:rPr>
      </w:pPr>
      <w:r w:rsidRPr="00C15DA7">
        <w:rPr>
          <w:rFonts w:cs="Arial"/>
        </w:rPr>
        <w:t xml:space="preserve">The need of the child to maintain contact with </w:t>
      </w:r>
      <w:r w:rsidR="00352795">
        <w:rPr>
          <w:rFonts w:cs="Arial"/>
        </w:rPr>
        <w:t>their</w:t>
      </w:r>
      <w:r w:rsidRPr="00C15DA7">
        <w:rPr>
          <w:rFonts w:cs="Arial"/>
        </w:rPr>
        <w:t xml:space="preserve"> Indigenous family, community and culture</w:t>
      </w:r>
      <w:r>
        <w:rPr>
          <w:rFonts w:cs="Arial"/>
        </w:rPr>
        <w:t>.</w:t>
      </w:r>
    </w:p>
    <w:p w14:paraId="10E5E583" w14:textId="4CE110F1" w:rsidR="00F62603" w:rsidRPr="00C15DA7" w:rsidRDefault="00F62603" w:rsidP="00EC6880">
      <w:pPr>
        <w:pStyle w:val="SubmissionNormal"/>
        <w:numPr>
          <w:ilvl w:val="2"/>
          <w:numId w:val="15"/>
        </w:numPr>
        <w:spacing w:before="120" w:after="120"/>
        <w:rPr>
          <w:rFonts w:cs="Arial"/>
        </w:rPr>
      </w:pPr>
      <w:r w:rsidRPr="00C15DA7">
        <w:rPr>
          <w:rFonts w:cs="Arial"/>
        </w:rPr>
        <w:t>T</w:t>
      </w:r>
      <w:r>
        <w:rPr>
          <w:rFonts w:cs="Arial"/>
        </w:rPr>
        <w:t>he significance of the child’s I</w:t>
      </w:r>
      <w:r w:rsidRPr="00C15DA7">
        <w:rPr>
          <w:rFonts w:cs="Arial"/>
        </w:rPr>
        <w:t>ndigenous heri</w:t>
      </w:r>
      <w:r>
        <w:rPr>
          <w:rFonts w:cs="Arial"/>
        </w:rPr>
        <w:t xml:space="preserve">tage for </w:t>
      </w:r>
      <w:r w:rsidR="00352795">
        <w:rPr>
          <w:rFonts w:cs="Arial"/>
        </w:rPr>
        <w:t>their</w:t>
      </w:r>
      <w:r>
        <w:rPr>
          <w:rFonts w:cs="Arial"/>
        </w:rPr>
        <w:t xml:space="preserve"> future wellbeing.</w:t>
      </w:r>
    </w:p>
    <w:p w14:paraId="5EA28E28" w14:textId="0B31F288" w:rsidR="00F62603" w:rsidRPr="00C15DA7" w:rsidRDefault="00F62603" w:rsidP="00EC6880">
      <w:pPr>
        <w:pStyle w:val="SubmissionNormal"/>
        <w:numPr>
          <w:ilvl w:val="2"/>
          <w:numId w:val="15"/>
        </w:numPr>
        <w:spacing w:before="120" w:after="120"/>
        <w:rPr>
          <w:rFonts w:cs="Arial"/>
        </w:rPr>
      </w:pPr>
      <w:r w:rsidRPr="00C15DA7">
        <w:rPr>
          <w:rFonts w:cs="Arial"/>
        </w:rPr>
        <w:t xml:space="preserve">The views of the </w:t>
      </w:r>
      <w:r>
        <w:rPr>
          <w:rFonts w:cs="Arial"/>
        </w:rPr>
        <w:t xml:space="preserve">child and </w:t>
      </w:r>
      <w:r w:rsidR="00352795">
        <w:rPr>
          <w:rFonts w:cs="Arial"/>
        </w:rPr>
        <w:t>their</w:t>
      </w:r>
      <w:r>
        <w:rPr>
          <w:rFonts w:cs="Arial"/>
        </w:rPr>
        <w:t xml:space="preserve"> family.</w:t>
      </w:r>
    </w:p>
    <w:p w14:paraId="1D347DE2" w14:textId="77777777" w:rsidR="00F62603" w:rsidRPr="00C15DA7" w:rsidRDefault="00F62603" w:rsidP="00EC6880">
      <w:pPr>
        <w:pStyle w:val="SubmissionNormal"/>
        <w:numPr>
          <w:ilvl w:val="2"/>
          <w:numId w:val="15"/>
        </w:numPr>
        <w:spacing w:before="120" w:after="120"/>
        <w:rPr>
          <w:rFonts w:cs="Arial"/>
        </w:rPr>
      </w:pPr>
      <w:r w:rsidRPr="00C15DA7">
        <w:rPr>
          <w:rFonts w:cs="Arial"/>
        </w:rPr>
        <w:t>The advice of the appropriate accredited Indigenous organisation</w:t>
      </w:r>
      <w:r>
        <w:rPr>
          <w:rFonts w:cs="Arial"/>
        </w:rPr>
        <w:t>.</w:t>
      </w:r>
      <w:r w:rsidRPr="00C15DA7">
        <w:rPr>
          <w:rStyle w:val="EndnoteReference"/>
          <w:rFonts w:cs="Arial"/>
        </w:rPr>
        <w:endnoteReference w:id="124"/>
      </w:r>
    </w:p>
    <w:p w14:paraId="01CE096B" w14:textId="77777777" w:rsidR="00F62603" w:rsidRPr="006C1321" w:rsidRDefault="00F62603" w:rsidP="00EC6880">
      <w:pPr>
        <w:pStyle w:val="SubmissionNormal"/>
        <w:numPr>
          <w:ilvl w:val="1"/>
          <w:numId w:val="15"/>
        </w:numPr>
        <w:spacing w:before="120" w:after="120"/>
        <w:rPr>
          <w:rFonts w:cs="Arial"/>
        </w:rPr>
      </w:pPr>
      <w:r w:rsidRPr="00C15DA7">
        <w:rPr>
          <w:rFonts w:cs="Arial"/>
        </w:rPr>
        <w:t xml:space="preserve">Appropriate </w:t>
      </w:r>
      <w:r w:rsidRPr="006C1321">
        <w:rPr>
          <w:rFonts w:cs="Arial"/>
        </w:rPr>
        <w:t xml:space="preserve">consideration </w:t>
      </w:r>
      <w:r>
        <w:rPr>
          <w:rFonts w:cs="Arial"/>
        </w:rPr>
        <w:t>should be given to</w:t>
      </w:r>
      <w:r w:rsidRPr="006C1321">
        <w:rPr>
          <w:rFonts w:cs="Arial"/>
        </w:rPr>
        <w:t xml:space="preserve"> the Aboriginal and Torres Strait Islander Child Placement Principle.</w:t>
      </w:r>
      <w:r w:rsidRPr="006C1321">
        <w:rPr>
          <w:rStyle w:val="EndnoteReference"/>
          <w:rFonts w:cs="Arial"/>
        </w:rPr>
        <w:endnoteReference w:id="125"/>
      </w:r>
      <w:r w:rsidRPr="006C1321">
        <w:rPr>
          <w:rFonts w:cs="Arial"/>
        </w:rPr>
        <w:t xml:space="preserve"> </w:t>
      </w:r>
    </w:p>
    <w:p w14:paraId="1D17E233" w14:textId="2722E752" w:rsidR="001E4FB1" w:rsidRDefault="00F62603" w:rsidP="00EC6880">
      <w:pPr>
        <w:pStyle w:val="SubmissionNormal"/>
        <w:numPr>
          <w:ilvl w:val="1"/>
          <w:numId w:val="15"/>
        </w:numPr>
        <w:spacing w:before="120" w:after="120"/>
        <w:rPr>
          <w:rFonts w:cs="Arial"/>
        </w:rPr>
      </w:pPr>
      <w:r>
        <w:rPr>
          <w:rFonts w:cs="Arial"/>
        </w:rPr>
        <w:t>Consideration should be given to w</w:t>
      </w:r>
      <w:r w:rsidRPr="00552E37">
        <w:rPr>
          <w:rFonts w:cs="Arial"/>
        </w:rPr>
        <w:t>hether there are less intrusiv</w:t>
      </w:r>
      <w:r>
        <w:rPr>
          <w:rFonts w:cs="Arial"/>
        </w:rPr>
        <w:t>e options available to achieve</w:t>
      </w:r>
      <w:r w:rsidRPr="00552E37">
        <w:rPr>
          <w:rFonts w:cs="Arial"/>
        </w:rPr>
        <w:t xml:space="preserve"> permanency and stability for Aboriginal and Torres Strait Islander children through other care orders. </w:t>
      </w:r>
    </w:p>
    <w:p w14:paraId="0110F648" w14:textId="47E251DB" w:rsidR="00F62603" w:rsidRPr="00F62603" w:rsidRDefault="00F62603" w:rsidP="00F62603">
      <w:pPr>
        <w:pStyle w:val="Heading1"/>
        <w:numPr>
          <w:ilvl w:val="0"/>
          <w:numId w:val="35"/>
        </w:numPr>
        <w:rPr>
          <w:lang w:val="en"/>
        </w:rPr>
      </w:pPr>
      <w:bookmarkStart w:id="30" w:name="_Toc516142245"/>
      <w:r w:rsidRPr="006C1321">
        <w:rPr>
          <w:lang w:val="en"/>
        </w:rPr>
        <w:t>Guiding principles for a national framework on adoptions</w:t>
      </w:r>
      <w:r w:rsidRPr="00552E37">
        <w:rPr>
          <w:lang w:val="en"/>
        </w:rPr>
        <w:t xml:space="preserve"> within Australia</w:t>
      </w:r>
      <w:bookmarkEnd w:id="30"/>
    </w:p>
    <w:p w14:paraId="2101CB43" w14:textId="40F236CC" w:rsidR="00BF1271" w:rsidRPr="00F62603" w:rsidRDefault="00E913C5" w:rsidP="00F62603">
      <w:pPr>
        <w:pStyle w:val="SubmissionNormal"/>
        <w:tabs>
          <w:tab w:val="clear" w:pos="786"/>
        </w:tabs>
        <w:ind w:left="720" w:hanging="720"/>
      </w:pPr>
      <w:r w:rsidRPr="00F62603">
        <w:rPr>
          <w:lang w:val="en"/>
        </w:rPr>
        <w:t>In the Commission’s view, a new national framework</w:t>
      </w:r>
      <w:r w:rsidR="00A00491" w:rsidRPr="00F62603">
        <w:rPr>
          <w:lang w:val="en"/>
        </w:rPr>
        <w:t xml:space="preserve"> on adoptions within Australia w</w:t>
      </w:r>
      <w:r w:rsidRPr="00F62603">
        <w:rPr>
          <w:lang w:val="en"/>
        </w:rPr>
        <w:t xml:space="preserve">ould assist in </w:t>
      </w:r>
      <w:r w:rsidR="00D00EB0" w:rsidRPr="00F62603">
        <w:rPr>
          <w:lang w:val="en"/>
        </w:rPr>
        <w:t>providing consistent criteria</w:t>
      </w:r>
      <w:r w:rsidRPr="00F62603">
        <w:rPr>
          <w:lang w:val="en"/>
        </w:rPr>
        <w:t xml:space="preserve"> </w:t>
      </w:r>
      <w:r w:rsidR="00D00EB0" w:rsidRPr="00F62603">
        <w:rPr>
          <w:lang w:val="en"/>
        </w:rPr>
        <w:t xml:space="preserve">to ensure that </w:t>
      </w:r>
      <w:r w:rsidRPr="00F62603">
        <w:rPr>
          <w:lang w:val="en"/>
        </w:rPr>
        <w:t>the best interests of the child</w:t>
      </w:r>
      <w:r w:rsidR="00D00EB0" w:rsidRPr="00F62603">
        <w:rPr>
          <w:lang w:val="en"/>
        </w:rPr>
        <w:t xml:space="preserve"> are given appropriate weight in all adoption decisions</w:t>
      </w:r>
      <w:r w:rsidRPr="00F62603">
        <w:rPr>
          <w:lang w:val="en"/>
        </w:rPr>
        <w:t xml:space="preserve">. </w:t>
      </w:r>
    </w:p>
    <w:p w14:paraId="1AE3874D" w14:textId="65A3902A" w:rsidR="00E913C5" w:rsidRPr="00F62603" w:rsidRDefault="00E913C5" w:rsidP="00F62603">
      <w:pPr>
        <w:pStyle w:val="SubmissionNormal"/>
        <w:tabs>
          <w:tab w:val="clear" w:pos="786"/>
        </w:tabs>
        <w:ind w:left="720" w:hanging="720"/>
      </w:pPr>
      <w:r w:rsidRPr="00F62603">
        <w:rPr>
          <w:lang w:val="en"/>
        </w:rPr>
        <w:t>Ideally, a national framework would result in the standardisation of legal and regulatory provisions relating to adoption</w:t>
      </w:r>
      <w:r w:rsidR="00F5349B" w:rsidRPr="00F62603">
        <w:rPr>
          <w:lang w:val="en"/>
        </w:rPr>
        <w:t>s</w:t>
      </w:r>
      <w:r w:rsidRPr="00F62603">
        <w:rPr>
          <w:lang w:val="en"/>
        </w:rPr>
        <w:t xml:space="preserve"> across Australia</w:t>
      </w:r>
      <w:r w:rsidR="00F5349B" w:rsidRPr="00F62603">
        <w:rPr>
          <w:lang w:val="en"/>
        </w:rPr>
        <w:t xml:space="preserve"> </w:t>
      </w:r>
      <w:r w:rsidRPr="00F62603">
        <w:rPr>
          <w:lang w:val="en"/>
        </w:rPr>
        <w:t>and</w:t>
      </w:r>
      <w:r w:rsidR="00F5349B" w:rsidRPr="00F62603">
        <w:rPr>
          <w:lang w:val="en"/>
        </w:rPr>
        <w:t xml:space="preserve"> would facilitate</w:t>
      </w:r>
      <w:r w:rsidRPr="00F62603">
        <w:rPr>
          <w:lang w:val="en"/>
        </w:rPr>
        <w:t xml:space="preserve"> adoption</w:t>
      </w:r>
      <w:r w:rsidR="00F5349B" w:rsidRPr="00F62603">
        <w:rPr>
          <w:lang w:val="en"/>
        </w:rPr>
        <w:t>s where they</w:t>
      </w:r>
      <w:r w:rsidR="00C35132" w:rsidRPr="00F62603">
        <w:rPr>
          <w:lang w:val="en"/>
        </w:rPr>
        <w:t xml:space="preserve"> </w:t>
      </w:r>
      <w:r w:rsidRPr="00F62603">
        <w:rPr>
          <w:lang w:val="en"/>
        </w:rPr>
        <w:t>are in the best interests of the child.</w:t>
      </w:r>
    </w:p>
    <w:p w14:paraId="24D09B70" w14:textId="1EB0F61C" w:rsidR="00BD3C0F" w:rsidRDefault="00CE173F" w:rsidP="00F62603">
      <w:pPr>
        <w:pStyle w:val="SubmissionNormal"/>
        <w:tabs>
          <w:tab w:val="clear" w:pos="786"/>
        </w:tabs>
        <w:ind w:left="720" w:hanging="720"/>
      </w:pPr>
      <w:r>
        <w:t>There have been various efforts in Australia in the past to achieve national c</w:t>
      </w:r>
      <w:r w:rsidR="002575ED">
        <w:t xml:space="preserve">onsistency in </w:t>
      </w:r>
      <w:r w:rsidR="000F58EF">
        <w:t>matters relating to adoption</w:t>
      </w:r>
      <w:r w:rsidR="002575ED">
        <w:t xml:space="preserve"> – some of which offer cautionary </w:t>
      </w:r>
      <w:r w:rsidR="00A04672">
        <w:t>tales</w:t>
      </w:r>
      <w:r w:rsidR="002575ED">
        <w:t xml:space="preserve">. </w:t>
      </w:r>
      <w:r w:rsidR="00E153BE">
        <w:t>For example, t</w:t>
      </w:r>
      <w:r w:rsidR="002575ED">
        <w:t>he Victorian Law Reform Commission’</w:t>
      </w:r>
      <w:r w:rsidR="005E5D76">
        <w:t xml:space="preserve">s 2016 consultation paper, </w:t>
      </w:r>
      <w:r w:rsidR="005E5D76" w:rsidRPr="00F62603">
        <w:rPr>
          <w:i/>
        </w:rPr>
        <w:t>Review of the Adoption Act 1984</w:t>
      </w:r>
      <w:r w:rsidR="005E5D76">
        <w:t>, outlines the development and implementat</w:t>
      </w:r>
      <w:r w:rsidR="007A08A1">
        <w:t xml:space="preserve">ion of model legislation in </w:t>
      </w:r>
      <w:r w:rsidR="005E5D76">
        <w:t>Australian states and territories during the 1960s</w:t>
      </w:r>
      <w:r w:rsidR="005D2F85">
        <w:t xml:space="preserve"> which </w:t>
      </w:r>
      <w:r w:rsidR="00E20755">
        <w:t>put in place secrecy provisions</w:t>
      </w:r>
      <w:r w:rsidR="007A08A1">
        <w:t xml:space="preserve"> surrounding adoption</w:t>
      </w:r>
      <w:r w:rsidR="005E5D76">
        <w:t>.</w:t>
      </w:r>
      <w:r w:rsidR="001B1EC6">
        <w:rPr>
          <w:rStyle w:val="EndnoteReference"/>
          <w:rFonts w:cs="Arial"/>
        </w:rPr>
        <w:endnoteReference w:id="126"/>
      </w:r>
      <w:r w:rsidR="005D6913">
        <w:t xml:space="preserve"> </w:t>
      </w:r>
    </w:p>
    <w:p w14:paraId="3558C555" w14:textId="677FB3FF" w:rsidR="00BF1271" w:rsidRDefault="008359B7" w:rsidP="00F62603">
      <w:pPr>
        <w:pStyle w:val="SubmissionNormal"/>
        <w:tabs>
          <w:tab w:val="clear" w:pos="786"/>
        </w:tabs>
        <w:ind w:left="720" w:hanging="720"/>
      </w:pPr>
      <w:r>
        <w:t>Other m</w:t>
      </w:r>
      <w:r w:rsidR="005D2F85" w:rsidRPr="00BD3C0F">
        <w:t xml:space="preserve">ore recent </w:t>
      </w:r>
      <w:r w:rsidR="00A04672" w:rsidRPr="00BD3C0F">
        <w:t>efforts at a national approach might be useful in the Committee’s current consideration.</w:t>
      </w:r>
      <w:r w:rsidR="005D2F85" w:rsidRPr="00BD3C0F">
        <w:t xml:space="preserve"> </w:t>
      </w:r>
    </w:p>
    <w:p w14:paraId="3BCD0B3C" w14:textId="5E305D0C" w:rsidR="00C64AA9" w:rsidRDefault="0099258B" w:rsidP="00727E74">
      <w:pPr>
        <w:pStyle w:val="SubmissionNormal"/>
        <w:tabs>
          <w:tab w:val="clear" w:pos="786"/>
        </w:tabs>
        <w:ind w:left="720" w:hanging="720"/>
      </w:pPr>
      <w:r w:rsidRPr="00BD3C0F">
        <w:t>According to the Victorian Law Reform Commission, ‘National Principles in Adoption’ were ratified by Community and Disability Services Ministers in 1993.</w:t>
      </w:r>
      <w:r w:rsidR="00006042">
        <w:rPr>
          <w:rStyle w:val="EndnoteReference"/>
          <w:rFonts w:cs="Arial"/>
        </w:rPr>
        <w:endnoteReference w:id="127"/>
      </w:r>
      <w:r w:rsidRPr="00BD3C0F">
        <w:t xml:space="preserve"> These were updated in 1997 to reflect </w:t>
      </w:r>
      <w:r w:rsidR="00352795" w:rsidRPr="00BD3C0F">
        <w:t>Australia</w:t>
      </w:r>
      <w:r w:rsidR="00352795">
        <w:t>’</w:t>
      </w:r>
      <w:r w:rsidR="00352795" w:rsidRPr="00BD3C0F">
        <w:t xml:space="preserve">s </w:t>
      </w:r>
      <w:r w:rsidRPr="00E153BE">
        <w:lastRenderedPageBreak/>
        <w:t>international obligations.</w:t>
      </w:r>
      <w:r w:rsidR="00006042">
        <w:rPr>
          <w:rStyle w:val="EndnoteReference"/>
          <w:rFonts w:cs="Arial"/>
        </w:rPr>
        <w:endnoteReference w:id="128"/>
      </w:r>
      <w:r w:rsidRPr="00E153BE">
        <w:t xml:space="preserve"> </w:t>
      </w:r>
      <w:r w:rsidR="00BD3C0F" w:rsidRPr="00E153BE">
        <w:t>In 2008, the Community and Disability Services Minis</w:t>
      </w:r>
      <w:r w:rsidR="00E153BE" w:rsidRPr="00E153BE">
        <w:t xml:space="preserve">ters Conference (CDSMC) ‘agreed to establish the </w:t>
      </w:r>
      <w:r w:rsidR="002575ED" w:rsidRPr="00E153BE">
        <w:t>Enhancing Adoption as a Service for Children Working Group to review the National Principles and agree on a set of principles to guide adoption practice and a more consistent approach across jurisdictions</w:t>
      </w:r>
      <w:r w:rsidR="00E153BE" w:rsidRPr="00E153BE">
        <w:t>’</w:t>
      </w:r>
      <w:r w:rsidR="002575ED" w:rsidRPr="00E153BE">
        <w:t>.</w:t>
      </w:r>
      <w:r w:rsidR="00D831A5">
        <w:rPr>
          <w:rStyle w:val="EndnoteReference"/>
          <w:rFonts w:cs="Arial"/>
        </w:rPr>
        <w:endnoteReference w:id="129"/>
      </w:r>
      <w:r w:rsidR="002575ED" w:rsidRPr="00E153BE">
        <w:t xml:space="preserve"> </w:t>
      </w:r>
      <w:r w:rsidR="00C64AA9">
        <w:t>T</w:t>
      </w:r>
      <w:r w:rsidR="00C64AA9" w:rsidRPr="00C64AA9">
        <w:t>he Victorian Law Reform Commission’s 2016 consultation paper</w:t>
      </w:r>
      <w:r w:rsidR="00C64AA9">
        <w:t xml:space="preserve"> </w:t>
      </w:r>
      <w:r w:rsidR="005C2A61">
        <w:t>stated</w:t>
      </w:r>
      <w:r w:rsidR="00C64AA9">
        <w:t>:</w:t>
      </w:r>
    </w:p>
    <w:p w14:paraId="507A2051" w14:textId="16F74884" w:rsidR="00DB507A" w:rsidRPr="00DB507A" w:rsidRDefault="00DB507A" w:rsidP="008A7510">
      <w:pPr>
        <w:ind w:left="1440"/>
        <w:rPr>
          <w:sz w:val="22"/>
          <w:szCs w:val="22"/>
        </w:rPr>
      </w:pPr>
      <w:r w:rsidRPr="00DB507A">
        <w:rPr>
          <w:sz w:val="22"/>
          <w:szCs w:val="22"/>
        </w:rPr>
        <w:t>The Commission understands that a revised draft of the National Principles was circulated out of session to the CDSMC in April 2012 and that all jurisdictions except the Commonwealth provided endorsement through this process. The CDSMC has since been disbanded as part of streamlining the Council of Australian Governments system. It is unclear whether there has been further work on this issue.</w:t>
      </w:r>
      <w:r w:rsidRPr="00DB507A">
        <w:rPr>
          <w:rStyle w:val="EndnoteReference"/>
          <w:rFonts w:cs="Arial"/>
          <w:szCs w:val="20"/>
        </w:rPr>
        <w:endnoteReference w:id="130"/>
      </w:r>
      <w:r w:rsidRPr="00DB507A">
        <w:rPr>
          <w:sz w:val="22"/>
          <w:szCs w:val="22"/>
        </w:rPr>
        <w:t xml:space="preserve"> </w:t>
      </w:r>
    </w:p>
    <w:p w14:paraId="085B8081" w14:textId="62FD7F07" w:rsidR="0006589C" w:rsidRDefault="00FC727D" w:rsidP="00DB507A">
      <w:pPr>
        <w:pStyle w:val="SubmissionNormal"/>
        <w:tabs>
          <w:tab w:val="clear" w:pos="786"/>
        </w:tabs>
        <w:ind w:left="720" w:hanging="720"/>
      </w:pPr>
      <w:r>
        <w:t>The 2011 National Stan</w:t>
      </w:r>
      <w:r w:rsidR="00912F67">
        <w:t xml:space="preserve">dards for out-of-home care </w:t>
      </w:r>
      <w:r>
        <w:t>provide a useful model</w:t>
      </w:r>
      <w:r w:rsidR="00006042">
        <w:t xml:space="preserve"> to consider in preparing a new national framework on adoptions within Austra</w:t>
      </w:r>
      <w:r>
        <w:t>lia.</w:t>
      </w:r>
      <w:r w:rsidR="006A39CD">
        <w:rPr>
          <w:rStyle w:val="EndnoteReference"/>
        </w:rPr>
        <w:endnoteReference w:id="131"/>
      </w:r>
      <w:r w:rsidR="00F91CD5">
        <w:t xml:space="preserve"> </w:t>
      </w:r>
      <w:r w:rsidR="004E0AD5">
        <w:t>The National Standards include a set of nine overarching principles, many of which may be relevant to children who may be involved in adoption matters.</w:t>
      </w:r>
      <w:r w:rsidR="0006589C">
        <w:t xml:space="preserve"> The principles are as follows:</w:t>
      </w:r>
    </w:p>
    <w:p w14:paraId="74665DEE" w14:textId="77777777" w:rsidR="00D63A2E" w:rsidRPr="0006589C" w:rsidRDefault="00D63A2E" w:rsidP="00D63A2E">
      <w:pPr>
        <w:pStyle w:val="SubmissionNormal"/>
        <w:numPr>
          <w:ilvl w:val="1"/>
          <w:numId w:val="15"/>
        </w:numPr>
        <w:spacing w:before="120" w:after="120"/>
        <w:ind w:left="1434" w:hanging="357"/>
      </w:pPr>
      <w:r w:rsidRPr="0006589C">
        <w:rPr>
          <w:rFonts w:cs="Arial"/>
        </w:rPr>
        <w:t>Children and young people in out-of-home care have their rights respected and are treated in accordance</w:t>
      </w:r>
      <w:r>
        <w:rPr>
          <w:rFonts w:cs="Arial"/>
        </w:rPr>
        <w:t xml:space="preserve"> </w:t>
      </w:r>
      <w:r w:rsidRPr="0006589C">
        <w:rPr>
          <w:rFonts w:cs="Arial"/>
        </w:rPr>
        <w:t>with the United Nations Convention on the Rights of the Child.</w:t>
      </w:r>
    </w:p>
    <w:p w14:paraId="162E5BFD" w14:textId="77777777" w:rsidR="00D63A2E" w:rsidRPr="0006589C" w:rsidRDefault="00D63A2E" w:rsidP="00D63A2E">
      <w:pPr>
        <w:pStyle w:val="SubmissionNormal"/>
        <w:numPr>
          <w:ilvl w:val="1"/>
          <w:numId w:val="15"/>
        </w:numPr>
        <w:spacing w:before="120" w:after="120"/>
        <w:ind w:left="1434" w:hanging="357"/>
      </w:pPr>
      <w:r w:rsidRPr="0006589C">
        <w:rPr>
          <w:rFonts w:cs="Arial"/>
        </w:rPr>
        <w:t>Care provided to children and young people living in out-of-home care is focused on providing a nurturing</w:t>
      </w:r>
      <w:r>
        <w:rPr>
          <w:rFonts w:cs="Arial"/>
        </w:rPr>
        <w:t xml:space="preserve"> </w:t>
      </w:r>
      <w:r w:rsidRPr="0006589C">
        <w:rPr>
          <w:rFonts w:cs="Arial"/>
        </w:rPr>
        <w:t>environment, promoting their best interests, and maximising their potential.</w:t>
      </w:r>
    </w:p>
    <w:p w14:paraId="0B8BBB60" w14:textId="77777777" w:rsidR="00D63A2E" w:rsidRPr="000057A0" w:rsidRDefault="00D63A2E" w:rsidP="00D63A2E">
      <w:pPr>
        <w:pStyle w:val="SubmissionNormal"/>
        <w:numPr>
          <w:ilvl w:val="1"/>
          <w:numId w:val="15"/>
        </w:numPr>
        <w:spacing w:before="120" w:after="120"/>
        <w:ind w:left="1434" w:hanging="357"/>
      </w:pPr>
      <w:r w:rsidRPr="0006589C">
        <w:rPr>
          <w:rFonts w:cs="Arial"/>
        </w:rPr>
        <w:t>Children and young people living in out-of-home care are provided with opportunities for their voice to be</w:t>
      </w:r>
      <w:r>
        <w:rPr>
          <w:rFonts w:cs="Arial"/>
        </w:rPr>
        <w:t xml:space="preserve"> </w:t>
      </w:r>
      <w:r w:rsidRPr="000057A0">
        <w:rPr>
          <w:rFonts w:cs="Arial"/>
        </w:rPr>
        <w:t>heard and respected and have the right to clear and consistent information about the reasons for being in care.</w:t>
      </w:r>
    </w:p>
    <w:p w14:paraId="0AA009C6" w14:textId="77777777" w:rsidR="00D63A2E" w:rsidRPr="000057A0" w:rsidRDefault="00D63A2E" w:rsidP="00D63A2E">
      <w:pPr>
        <w:pStyle w:val="SubmissionNormal"/>
        <w:numPr>
          <w:ilvl w:val="1"/>
          <w:numId w:val="15"/>
        </w:numPr>
        <w:spacing w:before="120" w:after="120"/>
        <w:ind w:left="1434" w:hanging="357"/>
      </w:pPr>
      <w:r w:rsidRPr="000057A0">
        <w:rPr>
          <w:rFonts w:cs="Arial"/>
        </w:rPr>
        <w:t>Care provided to children and young</w:t>
      </w:r>
      <w:r>
        <w:rPr>
          <w:rFonts w:cs="Arial"/>
        </w:rPr>
        <w:t xml:space="preserve"> people will promote the benefi</w:t>
      </w:r>
      <w:r w:rsidRPr="000057A0">
        <w:rPr>
          <w:rFonts w:cs="Arial"/>
        </w:rPr>
        <w:t>ts of ongoing safe, meaningful and</w:t>
      </w:r>
      <w:r>
        <w:rPr>
          <w:rFonts w:cs="Arial"/>
        </w:rPr>
        <w:t xml:space="preserve"> </w:t>
      </w:r>
      <w:r w:rsidRPr="000057A0">
        <w:rPr>
          <w:rFonts w:cs="Arial"/>
        </w:rPr>
        <w:t>positive connection and involvement of parents and families and communities of origin.</w:t>
      </w:r>
    </w:p>
    <w:p w14:paraId="38A3B7BD" w14:textId="77777777" w:rsidR="00D63A2E" w:rsidRPr="000057A0" w:rsidRDefault="00D63A2E" w:rsidP="00D63A2E">
      <w:pPr>
        <w:pStyle w:val="SubmissionNormal"/>
        <w:numPr>
          <w:ilvl w:val="1"/>
          <w:numId w:val="15"/>
        </w:numPr>
        <w:spacing w:before="120" w:after="120"/>
        <w:ind w:left="1434" w:hanging="357"/>
      </w:pPr>
      <w:r w:rsidRPr="000057A0">
        <w:rPr>
          <w:rFonts w:cs="Arial"/>
        </w:rPr>
        <w:t>Carers and their families are key stakeholders and partners in the care of chil</w:t>
      </w:r>
      <w:r>
        <w:rPr>
          <w:rFonts w:cs="Arial"/>
        </w:rPr>
        <w:t xml:space="preserve">dren and young people, and their </w:t>
      </w:r>
      <w:r w:rsidRPr="000057A0">
        <w:rPr>
          <w:rFonts w:cs="Arial"/>
        </w:rPr>
        <w:t>role is to be respected and supported.</w:t>
      </w:r>
    </w:p>
    <w:p w14:paraId="7BCC9A15" w14:textId="77777777" w:rsidR="00D63A2E" w:rsidRPr="000057A0" w:rsidRDefault="00D63A2E" w:rsidP="00D63A2E">
      <w:pPr>
        <w:pStyle w:val="SubmissionNormal"/>
        <w:numPr>
          <w:ilvl w:val="1"/>
          <w:numId w:val="15"/>
        </w:numPr>
        <w:spacing w:before="120" w:after="120"/>
        <w:ind w:left="1434" w:hanging="357"/>
      </w:pPr>
      <w:r w:rsidRPr="000057A0">
        <w:rPr>
          <w:rFonts w:cs="Arial"/>
        </w:rPr>
        <w:t>Children and young people living in out-of-home care are provided with a level of quality care that addresses</w:t>
      </w:r>
      <w:r>
        <w:rPr>
          <w:rFonts w:cs="Arial"/>
        </w:rPr>
        <w:t xml:space="preserve"> </w:t>
      </w:r>
      <w:r w:rsidRPr="000057A0">
        <w:rPr>
          <w:rFonts w:cs="Arial"/>
        </w:rPr>
        <w:t>their particular needs and improves their life outcomes.</w:t>
      </w:r>
    </w:p>
    <w:p w14:paraId="73402252" w14:textId="77777777" w:rsidR="00D63A2E" w:rsidRPr="000057A0" w:rsidRDefault="00D63A2E" w:rsidP="00D63A2E">
      <w:pPr>
        <w:pStyle w:val="SubmissionNormal"/>
        <w:numPr>
          <w:ilvl w:val="1"/>
          <w:numId w:val="15"/>
        </w:numPr>
        <w:spacing w:before="120" w:after="120"/>
        <w:ind w:left="1434" w:hanging="357"/>
      </w:pPr>
      <w:r w:rsidRPr="000057A0">
        <w:rPr>
          <w:rFonts w:cs="Arial"/>
        </w:rPr>
        <w:t>Continuous system improvements are designed to achieve better outcomes for all children and young people</w:t>
      </w:r>
      <w:r>
        <w:rPr>
          <w:rFonts w:cs="Arial"/>
        </w:rPr>
        <w:t xml:space="preserve"> </w:t>
      </w:r>
      <w:r w:rsidRPr="000057A0">
        <w:rPr>
          <w:rFonts w:cs="Arial"/>
        </w:rPr>
        <w:t>living in out-of-home care.</w:t>
      </w:r>
    </w:p>
    <w:p w14:paraId="7E718604" w14:textId="77777777" w:rsidR="00D63A2E" w:rsidRPr="000057A0" w:rsidRDefault="00D63A2E" w:rsidP="00D63A2E">
      <w:pPr>
        <w:pStyle w:val="SubmissionNormal"/>
        <w:numPr>
          <w:ilvl w:val="1"/>
          <w:numId w:val="15"/>
        </w:numPr>
        <w:spacing w:before="120" w:after="120"/>
        <w:ind w:left="1434" w:hanging="357"/>
      </w:pPr>
      <w:r w:rsidRPr="000057A0">
        <w:rPr>
          <w:rFonts w:cs="Arial"/>
        </w:rPr>
        <w:t>Out-of-home care for children and young people is measured, monitored and reported in a transparent,</w:t>
      </w:r>
      <w:r>
        <w:rPr>
          <w:rFonts w:cs="Arial"/>
        </w:rPr>
        <w:t xml:space="preserve"> effi</w:t>
      </w:r>
      <w:r w:rsidRPr="000057A0">
        <w:rPr>
          <w:rFonts w:cs="Arial"/>
        </w:rPr>
        <w:t>cient and consistent manner over time.</w:t>
      </w:r>
    </w:p>
    <w:p w14:paraId="31FF1931" w14:textId="3F3B0E82" w:rsidR="00D63A2E" w:rsidRDefault="00D63A2E" w:rsidP="00CE7934">
      <w:pPr>
        <w:pStyle w:val="SubmissionNormal"/>
        <w:numPr>
          <w:ilvl w:val="1"/>
          <w:numId w:val="15"/>
        </w:numPr>
        <w:spacing w:before="120" w:after="120"/>
        <w:ind w:left="1434" w:hanging="357"/>
      </w:pPr>
      <w:r w:rsidRPr="000057A0">
        <w:rPr>
          <w:rFonts w:cs="Arial"/>
        </w:rPr>
        <w:lastRenderedPageBreak/>
        <w:t>Aboriginal and Torres Strait Islander communities are to be involved in decisions in accordance with the</w:t>
      </w:r>
      <w:r>
        <w:t xml:space="preserve"> </w:t>
      </w:r>
      <w:r w:rsidRPr="000057A0">
        <w:rPr>
          <w:rFonts w:cs="Arial"/>
        </w:rPr>
        <w:t>Aboriginal Child Placement Principle.</w:t>
      </w:r>
      <w:r>
        <w:rPr>
          <w:rStyle w:val="EndnoteReference"/>
          <w:rFonts w:cs="Arial"/>
        </w:rPr>
        <w:endnoteReference w:id="132"/>
      </w:r>
    </w:p>
    <w:p w14:paraId="5CEE6365" w14:textId="788CCF19" w:rsidR="006B6842" w:rsidRPr="00396F3A" w:rsidRDefault="00064918" w:rsidP="00396F3A">
      <w:pPr>
        <w:pStyle w:val="SubmissionNormal"/>
        <w:tabs>
          <w:tab w:val="clear" w:pos="786"/>
        </w:tabs>
        <w:ind w:left="720" w:hanging="720"/>
      </w:pPr>
      <w:r w:rsidRPr="00396F3A">
        <w:rPr>
          <w:lang w:val="en-US"/>
        </w:rPr>
        <w:t>A</w:t>
      </w:r>
      <w:r w:rsidR="009E3C05" w:rsidRPr="00396F3A">
        <w:rPr>
          <w:lang w:val="en-US"/>
        </w:rPr>
        <w:t xml:space="preserve"> national framework for </w:t>
      </w:r>
      <w:r w:rsidR="007E06EB" w:rsidRPr="00396F3A">
        <w:rPr>
          <w:lang w:val="en-US"/>
        </w:rPr>
        <w:t xml:space="preserve">adoptions </w:t>
      </w:r>
      <w:r w:rsidR="009E3C05" w:rsidRPr="00396F3A">
        <w:rPr>
          <w:lang w:val="en-US"/>
        </w:rPr>
        <w:t>with</w:t>
      </w:r>
      <w:r w:rsidR="0094533E" w:rsidRPr="00396F3A">
        <w:rPr>
          <w:lang w:val="en-US"/>
        </w:rPr>
        <w:t>in Australia</w:t>
      </w:r>
      <w:r w:rsidRPr="00396F3A">
        <w:rPr>
          <w:lang w:val="en-US"/>
        </w:rPr>
        <w:t xml:space="preserve"> should</w:t>
      </w:r>
      <w:r w:rsidR="007E06EB" w:rsidRPr="00396F3A">
        <w:rPr>
          <w:lang w:val="en-US"/>
        </w:rPr>
        <w:t xml:space="preserve"> include the following</w:t>
      </w:r>
      <w:r w:rsidR="00A57523" w:rsidRPr="00396F3A">
        <w:rPr>
          <w:lang w:val="en-US"/>
        </w:rPr>
        <w:t xml:space="preserve"> as</w:t>
      </w:r>
      <w:r w:rsidR="007E06EB" w:rsidRPr="00396F3A">
        <w:rPr>
          <w:lang w:val="en-US"/>
        </w:rPr>
        <w:t xml:space="preserve"> guiding principles: </w:t>
      </w:r>
    </w:p>
    <w:p w14:paraId="47D8DB1A" w14:textId="71AB66FB" w:rsidR="00BD2A7B" w:rsidRPr="006B6842" w:rsidRDefault="00BD2A7B" w:rsidP="00BD2A7B">
      <w:pPr>
        <w:pStyle w:val="SubmissionNormal"/>
        <w:numPr>
          <w:ilvl w:val="1"/>
          <w:numId w:val="15"/>
        </w:numPr>
      </w:pPr>
      <w:r w:rsidRPr="00F21A3A">
        <w:rPr>
          <w:b/>
          <w:i/>
        </w:rPr>
        <w:t>The rights of the child will be respected and protected</w:t>
      </w:r>
      <w:r w:rsidRPr="00F21A3A">
        <w:rPr>
          <w:b/>
        </w:rPr>
        <w:t>.</w:t>
      </w:r>
      <w:r>
        <w:t xml:space="preserve"> Children </w:t>
      </w:r>
      <w:r w:rsidRPr="00552E37">
        <w:t>involved in adoption</w:t>
      </w:r>
      <w:r w:rsidRPr="0007687E">
        <w:t xml:space="preserve"> processes will have their </w:t>
      </w:r>
      <w:r>
        <w:t xml:space="preserve">human </w:t>
      </w:r>
      <w:r w:rsidRPr="0007687E">
        <w:t xml:space="preserve">rights respected and </w:t>
      </w:r>
      <w:r>
        <w:t xml:space="preserve">they will </w:t>
      </w:r>
      <w:r w:rsidRPr="0007687E">
        <w:t xml:space="preserve">be treated in accordance with Australia’s obligations under the </w:t>
      </w:r>
      <w:r w:rsidRPr="006B6842">
        <w:rPr>
          <w:i/>
        </w:rPr>
        <w:t>United Nations Convention on the Rights of the Child</w:t>
      </w:r>
      <w:r w:rsidRPr="0007687E">
        <w:t>.</w:t>
      </w:r>
      <w:r>
        <w:t xml:space="preserve"> Children will be provided with clear </w:t>
      </w:r>
      <w:r w:rsidR="004941F8">
        <w:t xml:space="preserve">and age appropriate </w:t>
      </w:r>
      <w:r>
        <w:t xml:space="preserve">information about their rights, their situation and the care options available to them. </w:t>
      </w:r>
    </w:p>
    <w:p w14:paraId="655A5ED7" w14:textId="77777777" w:rsidR="00BD2A7B" w:rsidRPr="006C1321" w:rsidRDefault="00BD2A7B" w:rsidP="00BD2A7B">
      <w:pPr>
        <w:pStyle w:val="SubmissionNormal"/>
        <w:numPr>
          <w:ilvl w:val="1"/>
          <w:numId w:val="15"/>
        </w:numPr>
      </w:pPr>
      <w:r w:rsidRPr="00F21A3A">
        <w:rPr>
          <w:b/>
          <w:i/>
        </w:rPr>
        <w:t>The best interests of the child will be the paramount consideration in all adoption matters.</w:t>
      </w:r>
      <w:r w:rsidRPr="006664C9">
        <w:rPr>
          <w:i/>
        </w:rPr>
        <w:t xml:space="preserve"> </w:t>
      </w:r>
      <w:r w:rsidRPr="006664C9">
        <w:t>For individual adoption decisions,</w:t>
      </w:r>
      <w:r>
        <w:t xml:space="preserve"> the child's best interests should</w:t>
      </w:r>
      <w:r w:rsidRPr="006664C9">
        <w:t xml:space="preserve"> be assessed and determined on a case-by-case basis, in light of the specific circumstances and needs of the particular child.</w:t>
      </w:r>
      <w:r>
        <w:t xml:space="preserve"> </w:t>
      </w:r>
    </w:p>
    <w:p w14:paraId="56F55B9C" w14:textId="77777777" w:rsidR="00BD2A7B" w:rsidRPr="008E0CBF" w:rsidRDefault="00BD2A7B" w:rsidP="00BD2A7B">
      <w:pPr>
        <w:pStyle w:val="SubmissionNormal"/>
        <w:numPr>
          <w:ilvl w:val="1"/>
          <w:numId w:val="15"/>
        </w:numPr>
        <w:rPr>
          <w:rFonts w:cs="Arial"/>
        </w:rPr>
      </w:pPr>
      <w:r w:rsidRPr="00756EB4">
        <w:rPr>
          <w:rFonts w:cs="Arial"/>
          <w:b/>
          <w:i/>
        </w:rPr>
        <w:t>C</w:t>
      </w:r>
      <w:r>
        <w:rPr>
          <w:rFonts w:cs="Arial"/>
          <w:b/>
          <w:i/>
        </w:rPr>
        <w:t>hildren’s rights to c</w:t>
      </w:r>
      <w:r w:rsidRPr="00756EB4">
        <w:rPr>
          <w:rFonts w:cs="Arial"/>
          <w:b/>
          <w:i/>
        </w:rPr>
        <w:t>ultur</w:t>
      </w:r>
      <w:r>
        <w:rPr>
          <w:rFonts w:cs="Arial"/>
          <w:b/>
          <w:i/>
        </w:rPr>
        <w:t>e</w:t>
      </w:r>
      <w:r w:rsidRPr="00756EB4">
        <w:rPr>
          <w:rFonts w:cs="Arial"/>
          <w:b/>
          <w:i/>
        </w:rPr>
        <w:t xml:space="preserve"> and identity</w:t>
      </w:r>
      <w:r>
        <w:rPr>
          <w:rFonts w:cs="Arial"/>
          <w:b/>
          <w:i/>
        </w:rPr>
        <w:t xml:space="preserve"> will be respected</w:t>
      </w:r>
      <w:r w:rsidRPr="00756EB4">
        <w:rPr>
          <w:rFonts w:cs="Arial"/>
          <w:b/>
          <w:i/>
        </w:rPr>
        <w:t>:</w:t>
      </w:r>
      <w:r w:rsidRPr="008E0CBF">
        <w:rPr>
          <w:rFonts w:cs="Arial"/>
        </w:rPr>
        <w:t xml:space="preserve"> When determining </w:t>
      </w:r>
      <w:r>
        <w:rPr>
          <w:rFonts w:cs="Arial"/>
        </w:rPr>
        <w:t xml:space="preserve">the </w:t>
      </w:r>
      <w:r w:rsidRPr="008E0CBF">
        <w:rPr>
          <w:rFonts w:cs="Arial"/>
        </w:rPr>
        <w:t>best interests</w:t>
      </w:r>
      <w:r>
        <w:rPr>
          <w:rFonts w:cs="Arial"/>
        </w:rPr>
        <w:t xml:space="preserve"> of the child</w:t>
      </w:r>
      <w:r w:rsidRPr="008E0CBF">
        <w:rPr>
          <w:rFonts w:cs="Arial"/>
        </w:rPr>
        <w:t xml:space="preserve">, regard </w:t>
      </w:r>
      <w:r>
        <w:rPr>
          <w:rFonts w:cs="Arial"/>
        </w:rPr>
        <w:t>should</w:t>
      </w:r>
      <w:r w:rsidRPr="008E0CBF">
        <w:rPr>
          <w:rFonts w:cs="Arial"/>
        </w:rPr>
        <w:t xml:space="preserve"> be had </w:t>
      </w:r>
      <w:r>
        <w:rPr>
          <w:rFonts w:cs="Arial"/>
        </w:rPr>
        <w:t>for</w:t>
      </w:r>
      <w:r w:rsidRPr="008E0CBF">
        <w:rPr>
          <w:rFonts w:cs="Arial"/>
        </w:rPr>
        <w:t xml:space="preserve"> the child’s individual and collective rights to their identity, including their cultural identity. All rights outlined in the </w:t>
      </w:r>
      <w:r w:rsidRPr="006B6842">
        <w:rPr>
          <w:i/>
        </w:rPr>
        <w:t>Convention on the Rights of the Child</w:t>
      </w:r>
      <w:r w:rsidRPr="008E0CBF">
        <w:rPr>
          <w:rFonts w:cs="Arial"/>
        </w:rPr>
        <w:t xml:space="preserve"> </w:t>
      </w:r>
      <w:r>
        <w:rPr>
          <w:rFonts w:cs="Arial"/>
        </w:rPr>
        <w:t xml:space="preserve">should </w:t>
      </w:r>
      <w:r w:rsidRPr="008E0CBF">
        <w:rPr>
          <w:rFonts w:cs="Arial"/>
        </w:rPr>
        <w:t xml:space="preserve">be considered when determining what is in the child’s best interests, including those outlined in </w:t>
      </w:r>
      <w:r>
        <w:rPr>
          <w:rFonts w:cs="Arial"/>
        </w:rPr>
        <w:t>a</w:t>
      </w:r>
      <w:r w:rsidRPr="008E0CBF">
        <w:rPr>
          <w:rFonts w:cs="Arial"/>
        </w:rPr>
        <w:t xml:space="preserve">rticle 30. </w:t>
      </w:r>
    </w:p>
    <w:p w14:paraId="1DC85307" w14:textId="19ED945E" w:rsidR="00BD2A7B" w:rsidRDefault="00BD2A7B" w:rsidP="00BD2A7B">
      <w:pPr>
        <w:pStyle w:val="SubmissionNormal"/>
        <w:numPr>
          <w:ilvl w:val="1"/>
          <w:numId w:val="15"/>
        </w:numPr>
      </w:pPr>
      <w:r w:rsidRPr="00F21A3A">
        <w:rPr>
          <w:b/>
          <w:i/>
          <w:lang w:val="en-US"/>
        </w:rPr>
        <w:t>Children’s right</w:t>
      </w:r>
      <w:r w:rsidR="005C2A61">
        <w:rPr>
          <w:b/>
          <w:i/>
          <w:lang w:val="en-US"/>
        </w:rPr>
        <w:t>s</w:t>
      </w:r>
      <w:r w:rsidRPr="00F21A3A">
        <w:rPr>
          <w:b/>
          <w:i/>
          <w:lang w:val="en-US"/>
        </w:rPr>
        <w:t xml:space="preserve"> to be heard will be respected and facilitated.</w:t>
      </w:r>
      <w:r>
        <w:rPr>
          <w:i/>
          <w:lang w:val="en-US"/>
        </w:rPr>
        <w:t xml:space="preserve"> </w:t>
      </w:r>
      <w:r w:rsidRPr="007A3610">
        <w:rPr>
          <w:lang w:val="en-US"/>
        </w:rPr>
        <w:t>All child</w:t>
      </w:r>
      <w:r>
        <w:rPr>
          <w:lang w:val="en-US"/>
        </w:rPr>
        <w:t>ren</w:t>
      </w:r>
      <w:r>
        <w:t xml:space="preserve">, including very young or vulnerable children, should be given the opportunity, either directly or through a representative, to express their views and be heard in adoption proceedings that affect them. </w:t>
      </w:r>
      <w:r w:rsidRPr="0007687E">
        <w:t xml:space="preserve">As a child matures, their views should be given increasing weight in the </w:t>
      </w:r>
      <w:r w:rsidRPr="006664C9">
        <w:t>assessment of their best interests.</w:t>
      </w:r>
      <w:r>
        <w:t xml:space="preserve"> </w:t>
      </w:r>
    </w:p>
    <w:p w14:paraId="292607D7" w14:textId="77777777" w:rsidR="00BD2A7B" w:rsidRDefault="00BD2A7B" w:rsidP="00BD2A7B">
      <w:pPr>
        <w:pStyle w:val="SubmissionNormal"/>
        <w:numPr>
          <w:ilvl w:val="1"/>
          <w:numId w:val="15"/>
        </w:numPr>
      </w:pPr>
      <w:r w:rsidRPr="00F21A3A">
        <w:rPr>
          <w:b/>
          <w:i/>
          <w:lang w:val="en-US"/>
        </w:rPr>
        <w:t>Children’s consent will be sought</w:t>
      </w:r>
      <w:r w:rsidRPr="00F21A3A">
        <w:rPr>
          <w:b/>
          <w:lang w:val="en-US"/>
        </w:rPr>
        <w:t>:</w:t>
      </w:r>
      <w:r w:rsidRPr="002961AD">
        <w:rPr>
          <w:lang w:val="en-US"/>
        </w:rPr>
        <w:t xml:space="preserve"> If a child has capacity to give or refuse consent, their consent should be sought prior to their adoption. </w:t>
      </w:r>
      <w:r w:rsidRPr="002961AD">
        <w:t xml:space="preserve">Any </w:t>
      </w:r>
      <w:r>
        <w:t xml:space="preserve">legal </w:t>
      </w:r>
      <w:r w:rsidRPr="002961AD">
        <w:t>minimum age requirement for a child being able to consent to their adoption should be supplemented by a provision allowing a child below that minimum age to give or refuse consent where they have demonstrated a sufficient level of maturity and understanding</w:t>
      </w:r>
      <w:r>
        <w:t xml:space="preserve"> to do so.</w:t>
      </w:r>
    </w:p>
    <w:p w14:paraId="330783D8" w14:textId="77777777" w:rsidR="00BD2A7B" w:rsidRPr="00097195" w:rsidRDefault="00BD2A7B" w:rsidP="00BD2A7B">
      <w:pPr>
        <w:pStyle w:val="SubmissionNormal"/>
        <w:numPr>
          <w:ilvl w:val="1"/>
          <w:numId w:val="15"/>
        </w:numPr>
      </w:pPr>
      <w:r>
        <w:rPr>
          <w:b/>
          <w:i/>
          <w:lang w:val="en-US"/>
        </w:rPr>
        <w:t xml:space="preserve">There will be a </w:t>
      </w:r>
      <w:r w:rsidRPr="00F21A3A">
        <w:rPr>
          <w:b/>
          <w:i/>
          <w:lang w:val="en-US"/>
        </w:rPr>
        <w:t>presumption for open adoption</w:t>
      </w:r>
      <w:r w:rsidRPr="00F21A3A">
        <w:rPr>
          <w:b/>
          <w:lang w:val="en-US"/>
        </w:rPr>
        <w:t>:</w:t>
      </w:r>
      <w:r>
        <w:rPr>
          <w:lang w:val="en-US"/>
        </w:rPr>
        <w:t xml:space="preserve"> Open adoption ensures that the child has access to information about their birth family and their adoption, and has o</w:t>
      </w:r>
      <w:r w:rsidRPr="007E06EB">
        <w:rPr>
          <w:lang w:val="en-US"/>
        </w:rPr>
        <w:t xml:space="preserve">ngoing contact </w:t>
      </w:r>
      <w:r>
        <w:rPr>
          <w:lang w:val="en-US"/>
        </w:rPr>
        <w:t xml:space="preserve">with their birth family unless that is not in the child’s best interests. </w:t>
      </w:r>
    </w:p>
    <w:p w14:paraId="4CF1F1D6" w14:textId="0DEDED3F" w:rsidR="00396F3A" w:rsidRPr="00396F3A" w:rsidRDefault="00BD2A7B" w:rsidP="00BD2A7B">
      <w:pPr>
        <w:pStyle w:val="SubmissionNormal"/>
        <w:numPr>
          <w:ilvl w:val="1"/>
          <w:numId w:val="15"/>
        </w:numPr>
      </w:pPr>
      <w:r w:rsidRPr="00756EB4">
        <w:rPr>
          <w:b/>
          <w:i/>
        </w:rPr>
        <w:t>A</w:t>
      </w:r>
      <w:r>
        <w:rPr>
          <w:b/>
          <w:i/>
        </w:rPr>
        <w:t>ll parties will have a</w:t>
      </w:r>
      <w:r w:rsidRPr="00756EB4">
        <w:rPr>
          <w:b/>
          <w:i/>
        </w:rPr>
        <w:t>ccess to ongoing support</w:t>
      </w:r>
      <w:r>
        <w:rPr>
          <w:b/>
          <w:i/>
        </w:rPr>
        <w:t xml:space="preserve"> services</w:t>
      </w:r>
      <w:r w:rsidRPr="00756EB4">
        <w:rPr>
          <w:b/>
          <w:i/>
        </w:rPr>
        <w:t>:</w:t>
      </w:r>
      <w:r>
        <w:t xml:space="preserve"> Birth families, children and adoptive families should be pro</w:t>
      </w:r>
      <w:r>
        <w:lastRenderedPageBreak/>
        <w:t>vided with access to information, counselling and support services prior to, during and after an adoption. The support needs of adoptive parents should be met on an ongoing basis, to ensure that the physical, emotional, health, educational and other needs of each individual adopted child can be fulfilled.</w:t>
      </w:r>
    </w:p>
    <w:p w14:paraId="37E86FA5" w14:textId="77777777" w:rsidR="00BD2A7B" w:rsidRDefault="00467C74" w:rsidP="00BD2A7B">
      <w:pPr>
        <w:pStyle w:val="SubmissionNormal"/>
        <w:tabs>
          <w:tab w:val="clear" w:pos="786"/>
        </w:tabs>
        <w:ind w:left="720" w:hanging="720"/>
      </w:pPr>
      <w:r w:rsidRPr="006C1321">
        <w:t>As</w:t>
      </w:r>
      <w:r>
        <w:t xml:space="preserve"> noted earlier</w:t>
      </w:r>
      <w:r w:rsidRPr="006C1321">
        <w:t>, this is not a comprehensive consideration of all matters that would need to be addressed when</w:t>
      </w:r>
      <w:r>
        <w:t xml:space="preserve"> devel</w:t>
      </w:r>
      <w:r w:rsidR="005D1223">
        <w:t xml:space="preserve">oping a national framework for </w:t>
      </w:r>
      <w:r>
        <w:t>adoptions</w:t>
      </w:r>
      <w:r w:rsidR="005D1223">
        <w:t xml:space="preserve"> within Australia</w:t>
      </w:r>
      <w:r w:rsidRPr="00F006FC">
        <w:t>.</w:t>
      </w:r>
      <w:r>
        <w:t xml:space="preserve"> Rather, these guiding principles should be included to ensure that children’s human rights and best interests are prioritised and protected. </w:t>
      </w:r>
    </w:p>
    <w:p w14:paraId="1DCF6AD7" w14:textId="77777777" w:rsidR="00BD2A7B" w:rsidRDefault="00607585" w:rsidP="00BD2A7B">
      <w:pPr>
        <w:pStyle w:val="SubmissionNormal"/>
        <w:tabs>
          <w:tab w:val="clear" w:pos="786"/>
        </w:tabs>
        <w:ind w:left="720" w:hanging="720"/>
      </w:pPr>
      <w:r>
        <w:t>T</w:t>
      </w:r>
      <w:r w:rsidR="00503B80" w:rsidRPr="008E0CBF">
        <w:t xml:space="preserve">he Commission is of the view that </w:t>
      </w:r>
      <w:r>
        <w:t>a</w:t>
      </w:r>
      <w:r w:rsidR="00503B80" w:rsidRPr="008E0CBF">
        <w:t xml:space="preserve"> national framework should </w:t>
      </w:r>
      <w:r>
        <w:t>recognise the particular, distinctive issues relating to</w:t>
      </w:r>
      <w:r w:rsidR="00503B80" w:rsidRPr="008E0CBF">
        <w:t xml:space="preserve"> the adoption of Aboriginal and Torres Strait Islander children</w:t>
      </w:r>
      <w:r w:rsidR="004D0D84">
        <w:t>. The</w:t>
      </w:r>
      <w:r w:rsidR="00584051" w:rsidRPr="008E0CBF">
        <w:t xml:space="preserve"> framework should</w:t>
      </w:r>
      <w:r w:rsidR="00503B80" w:rsidRPr="008E0CBF">
        <w:t xml:space="preserve"> be developed in close consultation with Aboriginal and Torres Strait Islander peoples</w:t>
      </w:r>
      <w:r w:rsidR="00B155B9" w:rsidRPr="008E0CBF">
        <w:t xml:space="preserve"> </w:t>
      </w:r>
      <w:r w:rsidR="00503B80" w:rsidRPr="008E0CBF">
        <w:t>and their child</w:t>
      </w:r>
      <w:r w:rsidR="00B155B9" w:rsidRPr="008E0CBF">
        <w:t xml:space="preserve"> welfare</w:t>
      </w:r>
      <w:r w:rsidR="00503B80" w:rsidRPr="008E0CBF">
        <w:t xml:space="preserve"> </w:t>
      </w:r>
      <w:r w:rsidR="00CE5687" w:rsidRPr="008E0CBF">
        <w:t xml:space="preserve">and family service </w:t>
      </w:r>
      <w:r w:rsidR="00503B80" w:rsidRPr="008E0CBF">
        <w:t xml:space="preserve">agencies, </w:t>
      </w:r>
      <w:r w:rsidR="00503B80" w:rsidRPr="006C1321">
        <w:t>in a manner consistent with the principle of free, prior and informed consent</w:t>
      </w:r>
      <w:r w:rsidR="00503B80" w:rsidRPr="008E0CBF">
        <w:t xml:space="preserve">. At a minimum, the Commission is of the view that the national framework </w:t>
      </w:r>
      <w:r w:rsidR="00503B80" w:rsidRPr="006C1321">
        <w:t xml:space="preserve">should be consistent with and seek to fully implement </w:t>
      </w:r>
      <w:r w:rsidR="00503B80" w:rsidRPr="008E0CBF">
        <w:t xml:space="preserve">the ATSCIPP, and recognise that the Indigenous child’s best interests must be conceived both as an individual and a collective right, including the right to culture. </w:t>
      </w:r>
    </w:p>
    <w:p w14:paraId="41C687F2" w14:textId="602ED97A" w:rsidR="00A7057A" w:rsidRDefault="00A7057A" w:rsidP="00BD2A7B">
      <w:pPr>
        <w:pStyle w:val="SubmissionNormal"/>
        <w:tabs>
          <w:tab w:val="clear" w:pos="786"/>
        </w:tabs>
        <w:ind w:left="720" w:hanging="720"/>
      </w:pPr>
      <w:r>
        <w:t>The Commission is also of the view that, in developing the national framework, consideration should be given to</w:t>
      </w:r>
      <w:r w:rsidR="00EA1BBB">
        <w:t xml:space="preserve"> the following issues</w:t>
      </w:r>
      <w:r>
        <w:t>:</w:t>
      </w:r>
    </w:p>
    <w:p w14:paraId="07191F89" w14:textId="5CB028BC" w:rsidR="00A7629D" w:rsidRPr="00EA1BBB" w:rsidRDefault="00A7629D" w:rsidP="00A7629D">
      <w:pPr>
        <w:pStyle w:val="SubmissionNormal"/>
        <w:numPr>
          <w:ilvl w:val="1"/>
          <w:numId w:val="15"/>
        </w:numPr>
      </w:pPr>
      <w:r w:rsidRPr="000E0343">
        <w:rPr>
          <w:b/>
          <w:lang w:val="en-US"/>
        </w:rPr>
        <w:t>Parental consent</w:t>
      </w:r>
      <w:r>
        <w:rPr>
          <w:b/>
          <w:lang w:val="en-US"/>
        </w:rPr>
        <w:t>:</w:t>
      </w:r>
      <w:r w:rsidRPr="00EA1BBB">
        <w:rPr>
          <w:lang w:val="en-US"/>
        </w:rPr>
        <w:t xml:space="preserve"> Ordinarily, parental consent should be sought prior to the adoption of a child. However, there may be circumstances in whi</w:t>
      </w:r>
      <w:r>
        <w:rPr>
          <w:lang w:val="en-US"/>
        </w:rPr>
        <w:t>ch it is not possible to obtain parental consent</w:t>
      </w:r>
      <w:r w:rsidRPr="00EA1BBB">
        <w:rPr>
          <w:lang w:val="en-US"/>
        </w:rPr>
        <w:t xml:space="preserve">, or where a legal requirement </w:t>
      </w:r>
      <w:r>
        <w:rPr>
          <w:lang w:val="en-US"/>
        </w:rPr>
        <w:t>for</w:t>
      </w:r>
      <w:r w:rsidRPr="00EA1BBB">
        <w:rPr>
          <w:lang w:val="en-US"/>
        </w:rPr>
        <w:t xml:space="preserve"> parental consent might work against the best interests of the child involved</w:t>
      </w:r>
      <w:r>
        <w:rPr>
          <w:lang w:val="en-US"/>
        </w:rPr>
        <w:t>. In the Commission’s view, a</w:t>
      </w:r>
      <w:r w:rsidRPr="00EA1BBB">
        <w:rPr>
          <w:lang w:val="en-US"/>
        </w:rPr>
        <w:t xml:space="preserve"> legal requirement to obtain the consent of the birth parent/s to an adoption should be</w:t>
      </w:r>
      <w:r>
        <w:rPr>
          <w:lang w:val="en-US"/>
        </w:rPr>
        <w:t xml:space="preserve"> able to be dispensed with</w:t>
      </w:r>
      <w:r w:rsidR="005C2A61">
        <w:rPr>
          <w:lang w:val="en-US"/>
        </w:rPr>
        <w:t>,</w:t>
      </w:r>
      <w:r>
        <w:rPr>
          <w:lang w:val="en-US"/>
        </w:rPr>
        <w:t xml:space="preserve"> by </w:t>
      </w:r>
      <w:r w:rsidRPr="00EA1BBB">
        <w:rPr>
          <w:lang w:val="en-US"/>
        </w:rPr>
        <w:t>court order</w:t>
      </w:r>
      <w:r w:rsidR="005C2A61">
        <w:rPr>
          <w:lang w:val="en-US"/>
        </w:rPr>
        <w:t>,</w:t>
      </w:r>
      <w:r w:rsidRPr="00EA1BBB">
        <w:rPr>
          <w:lang w:val="en-US"/>
        </w:rPr>
        <w:t xml:space="preserve"> where it is clearly in the best interests of the child to do so, and it would be against the best interests of the child not to do so.</w:t>
      </w:r>
      <w:r>
        <w:rPr>
          <w:lang w:val="en-US"/>
        </w:rPr>
        <w:t xml:space="preserve"> Detailed c</w:t>
      </w:r>
      <w:r w:rsidRPr="00EA1BBB">
        <w:rPr>
          <w:lang w:val="en-US"/>
        </w:rPr>
        <w:t xml:space="preserve">onsideration should be given to what these circumstances might legitimately include. </w:t>
      </w:r>
    </w:p>
    <w:p w14:paraId="69DB7E3E" w14:textId="77777777" w:rsidR="00A7629D" w:rsidRPr="00DF39B3" w:rsidRDefault="00A7629D" w:rsidP="00A7629D">
      <w:pPr>
        <w:pStyle w:val="SubmissionNormal"/>
        <w:numPr>
          <w:ilvl w:val="1"/>
          <w:numId w:val="15"/>
        </w:numPr>
      </w:pPr>
      <w:r w:rsidRPr="000E0343">
        <w:rPr>
          <w:b/>
        </w:rPr>
        <w:t>Non-discrimination in eligibility requirements:</w:t>
      </w:r>
      <w:r w:rsidRPr="00DF39B3">
        <w:t xml:space="preserve"> In the Commission’s view, eligibility to adopt a child should be based on a non-discriminatory approach. For example, adults should not be excluded from eligibility for reasons of their marital or relationship status, their sexuality or their age. The determining factor should be meeting the best interests of the particular child in each case.</w:t>
      </w:r>
    </w:p>
    <w:p w14:paraId="005A1330" w14:textId="34963B40" w:rsidR="00A7629D" w:rsidRDefault="00A7629D" w:rsidP="00A7629D">
      <w:pPr>
        <w:pStyle w:val="SubmissionNormal"/>
        <w:numPr>
          <w:ilvl w:val="1"/>
          <w:numId w:val="15"/>
        </w:numPr>
      </w:pPr>
      <w:r w:rsidRPr="000E0343">
        <w:rPr>
          <w:b/>
        </w:rPr>
        <w:t>The need for adequate monitoring and data collection:</w:t>
      </w:r>
      <w:r>
        <w:t xml:space="preserve"> The</w:t>
      </w:r>
      <w:r w:rsidRPr="009D74AF">
        <w:t xml:space="preserve"> national framework should include a mechanism for nationally consistent data collection on factors including adoption</w:t>
      </w:r>
      <w:r>
        <w:t xml:space="preserve"> rates for each type of adoption</w:t>
      </w:r>
      <w:r w:rsidRPr="009D74AF">
        <w:t xml:space="preserve">, characteristics of adopted children and adoptive families, adoption success and </w:t>
      </w:r>
      <w:r>
        <w:t xml:space="preserve">dissolution </w:t>
      </w:r>
      <w:r w:rsidRPr="009D74AF">
        <w:t xml:space="preserve">rates, and access by relevant parties to appropriate </w:t>
      </w:r>
      <w:r>
        <w:t xml:space="preserve">pre- and </w:t>
      </w:r>
      <w:r>
        <w:lastRenderedPageBreak/>
        <w:t xml:space="preserve">post-adoption </w:t>
      </w:r>
      <w:r w:rsidRPr="009D74AF">
        <w:t>support services; as well as an ongoing monitoring and review mechanism.</w:t>
      </w:r>
    </w:p>
    <w:p w14:paraId="4D91870D" w14:textId="3D6508C8" w:rsidR="00EB6A76" w:rsidRPr="00A96892" w:rsidRDefault="00481AAE" w:rsidP="000E2E8B">
      <w:pPr>
        <w:pStyle w:val="SubmissionNormal"/>
        <w:tabs>
          <w:tab w:val="clear" w:pos="786"/>
        </w:tabs>
        <w:ind w:left="720" w:hanging="720"/>
      </w:pPr>
      <w:r w:rsidRPr="000E2E8B">
        <w:rPr>
          <w:lang w:val="en-US"/>
        </w:rPr>
        <w:t>In the Commission’s view,</w:t>
      </w:r>
      <w:r w:rsidR="002B4503" w:rsidRPr="000E2E8B">
        <w:rPr>
          <w:lang w:val="en-US"/>
        </w:rPr>
        <w:t xml:space="preserve"> the development of </w:t>
      </w:r>
      <w:r w:rsidR="00CA7D95" w:rsidRPr="000E2E8B">
        <w:rPr>
          <w:lang w:val="en-US"/>
        </w:rPr>
        <w:t xml:space="preserve">a national framework for </w:t>
      </w:r>
      <w:r w:rsidR="000F7E19" w:rsidRPr="000E2E8B">
        <w:rPr>
          <w:lang w:val="en-US"/>
        </w:rPr>
        <w:t>adoptions within Australia sh</w:t>
      </w:r>
      <w:r w:rsidR="002B4503" w:rsidRPr="000E2E8B">
        <w:rPr>
          <w:lang w:val="en-US"/>
        </w:rPr>
        <w:t>ould proceed through the Fourth Action Plan of the National Framework</w:t>
      </w:r>
      <w:r w:rsidR="000F7E19" w:rsidRPr="000E2E8B">
        <w:rPr>
          <w:lang w:val="en-US"/>
        </w:rPr>
        <w:t xml:space="preserve"> for Protecting Australia’s Children</w:t>
      </w:r>
      <w:r w:rsidR="002B4503" w:rsidRPr="000E2E8B">
        <w:rPr>
          <w:lang w:val="en-US"/>
        </w:rPr>
        <w:t>.</w:t>
      </w:r>
      <w:r w:rsidR="007B0D34" w:rsidRPr="000E2E8B">
        <w:rPr>
          <w:lang w:val="en-US"/>
        </w:rPr>
        <w:t xml:space="preserve"> This should includ</w:t>
      </w:r>
      <w:r w:rsidR="00C32348" w:rsidRPr="000E2E8B">
        <w:rPr>
          <w:lang w:val="en-US"/>
        </w:rPr>
        <w:t xml:space="preserve">e widespread consultation with </w:t>
      </w:r>
      <w:r w:rsidR="000F7E19" w:rsidRPr="000E2E8B">
        <w:rPr>
          <w:lang w:val="en-US"/>
        </w:rPr>
        <w:t xml:space="preserve">all </w:t>
      </w:r>
      <w:r w:rsidR="00C32348" w:rsidRPr="000E2E8B">
        <w:rPr>
          <w:lang w:val="en-US"/>
        </w:rPr>
        <w:t>relevant</w:t>
      </w:r>
      <w:r w:rsidR="007B0D34" w:rsidRPr="000E2E8B">
        <w:rPr>
          <w:lang w:val="en-US"/>
        </w:rPr>
        <w:t xml:space="preserve"> stakehold</w:t>
      </w:r>
      <w:r w:rsidR="005B626B" w:rsidRPr="000E2E8B">
        <w:rPr>
          <w:lang w:val="en-US"/>
        </w:rPr>
        <w:t>ers</w:t>
      </w:r>
      <w:r w:rsidR="007F1030" w:rsidRPr="000E2E8B">
        <w:rPr>
          <w:lang w:val="en-US"/>
        </w:rPr>
        <w:t>.</w:t>
      </w:r>
    </w:p>
    <w:sectPr w:rsidR="00EB6A76" w:rsidRPr="00A96892"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EB52A" w14:textId="77777777" w:rsidR="00B60B7D" w:rsidRDefault="00B60B7D" w:rsidP="00F14C6D">
      <w:r>
        <w:separator/>
      </w:r>
    </w:p>
  </w:endnote>
  <w:endnote w:type="continuationSeparator" w:id="0">
    <w:p w14:paraId="046C4621" w14:textId="77777777" w:rsidR="00B60B7D" w:rsidRDefault="00B60B7D" w:rsidP="00F14C6D">
      <w:r>
        <w:continuationSeparator/>
      </w:r>
    </w:p>
  </w:endnote>
  <w:endnote w:id="1">
    <w:p w14:paraId="73C6E427" w14:textId="6565F3FE" w:rsidR="00B60B7D" w:rsidRPr="00BE5552" w:rsidRDefault="00B60B7D" w:rsidP="005C4178">
      <w:pPr>
        <w:pStyle w:val="EndnoteText"/>
        <w:rPr>
          <w:rFonts w:cs="Arial"/>
        </w:rPr>
      </w:pPr>
      <w:r w:rsidRPr="00BE5552">
        <w:rPr>
          <w:rStyle w:val="EndnoteReference"/>
          <w:rFonts w:cs="Arial"/>
        </w:rPr>
        <w:endnoteRef/>
      </w:r>
      <w:r w:rsidRPr="00BE5552">
        <w:rPr>
          <w:rFonts w:cs="Arial"/>
        </w:rPr>
        <w:t xml:space="preserve"> </w:t>
      </w:r>
      <w:r w:rsidRPr="00BE5552">
        <w:rPr>
          <w:rFonts w:cs="Arial"/>
          <w:i/>
        </w:rPr>
        <w:t>Principles relating to the Status of National Institutions</w:t>
      </w:r>
      <w:r w:rsidRPr="00BE5552">
        <w:rPr>
          <w:rFonts w:cs="Arial"/>
        </w:rPr>
        <w:t xml:space="preserve"> (The Paris Principles), GA Res 48/134 (20 December 1993). At </w:t>
      </w:r>
      <w:hyperlink r:id="rId1" w:history="1">
        <w:r w:rsidRPr="00BE5552">
          <w:rPr>
            <w:rStyle w:val="Hyperlink"/>
            <w:rFonts w:cs="Arial"/>
          </w:rPr>
          <w:t>http://www.ohchr.org/EN/ProfessionalInterest/Pages/StatusOfNationalInstitutions.aspx</w:t>
        </w:r>
      </w:hyperlink>
      <w:r w:rsidRPr="00BE5552">
        <w:rPr>
          <w:rFonts w:cs="Arial"/>
        </w:rPr>
        <w:t xml:space="preserve"> (viewed 15 May 2018).</w:t>
      </w:r>
    </w:p>
  </w:endnote>
  <w:endnote w:id="2">
    <w:p w14:paraId="2A026E1B" w14:textId="77777777" w:rsidR="00B60B7D" w:rsidRPr="00BE5552" w:rsidRDefault="00B60B7D" w:rsidP="00D60F0E">
      <w:pPr>
        <w:pStyle w:val="EndnoteText"/>
        <w:rPr>
          <w:rFonts w:cs="Arial"/>
        </w:rPr>
      </w:pPr>
      <w:r w:rsidRPr="00BE5552">
        <w:rPr>
          <w:rStyle w:val="EndnoteReference"/>
          <w:rFonts w:cs="Arial"/>
        </w:rPr>
        <w:endnoteRef/>
      </w:r>
      <w:r w:rsidRPr="00BE5552">
        <w:rPr>
          <w:rFonts w:cs="Arial"/>
        </w:rPr>
        <w:t xml:space="preserve"> Senate Standing Committee on Social Policy and Legal Affairs, </w:t>
      </w:r>
      <w:r w:rsidRPr="00BE5552">
        <w:rPr>
          <w:rFonts w:cs="Arial"/>
          <w:i/>
        </w:rPr>
        <w:t>Inquiry into local adoption, Terms of Reference</w:t>
      </w:r>
      <w:r w:rsidRPr="00BE5552">
        <w:rPr>
          <w:rFonts w:cs="Arial"/>
        </w:rPr>
        <w:t xml:space="preserve">. At </w:t>
      </w:r>
      <w:hyperlink r:id="rId2" w:history="1">
        <w:r w:rsidRPr="00BE5552">
          <w:rPr>
            <w:rStyle w:val="Hyperlink"/>
            <w:rFonts w:cs="Arial"/>
          </w:rPr>
          <w:t>https://www.aph.gov.au/Parliamentary_Business/Committees/House/Social_Policy_and_Legal_Affairs/Localadoption/Terms_of_Reference</w:t>
        </w:r>
      </w:hyperlink>
      <w:r w:rsidRPr="00BE5552">
        <w:rPr>
          <w:rFonts w:cs="Arial"/>
        </w:rPr>
        <w:t xml:space="preserve"> (viewed 30 April 2018).</w:t>
      </w:r>
    </w:p>
  </w:endnote>
  <w:endnote w:id="3">
    <w:p w14:paraId="0572F409" w14:textId="77777777" w:rsidR="00B60B7D" w:rsidRPr="00BE5552" w:rsidRDefault="00B60B7D" w:rsidP="00FB7DB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4. At </w:t>
      </w:r>
      <w:hyperlink r:id="rId3" w:history="1">
        <w:r w:rsidRPr="00BE5552">
          <w:rPr>
            <w:rStyle w:val="Hyperlink"/>
            <w:rFonts w:cs="Arial"/>
          </w:rPr>
          <w:t>https://www.aihw.gov.au/reports/adoptions/adoptions-australia-2016-17/contents/table-of-content</w:t>
        </w:r>
      </w:hyperlink>
      <w:r w:rsidRPr="00BE5552">
        <w:rPr>
          <w:rFonts w:cs="Arial"/>
        </w:rPr>
        <w:t xml:space="preserve"> (viewed 30 April 2018). </w:t>
      </w:r>
    </w:p>
  </w:endnote>
  <w:endnote w:id="4">
    <w:p w14:paraId="2608B05F" w14:textId="77777777" w:rsidR="00B60B7D" w:rsidRPr="00BE5552" w:rsidRDefault="00B60B7D" w:rsidP="00FB7DB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4. At </w:t>
      </w:r>
      <w:hyperlink r:id="rId4" w:history="1">
        <w:r w:rsidRPr="00BE5552">
          <w:rPr>
            <w:rStyle w:val="Hyperlink"/>
            <w:rFonts w:cs="Arial"/>
          </w:rPr>
          <w:t>https://www.aihw.gov.au/reports/adoptions/adoptions-australia-2016-17/contents/table-of-content</w:t>
        </w:r>
      </w:hyperlink>
      <w:r w:rsidRPr="00BE5552">
        <w:rPr>
          <w:rFonts w:cs="Arial"/>
        </w:rPr>
        <w:t xml:space="preserve"> (viewed 30 April 2018). </w:t>
      </w:r>
    </w:p>
  </w:endnote>
  <w:endnote w:id="5">
    <w:p w14:paraId="74F43CC2" w14:textId="15191EBE" w:rsidR="00B60B7D" w:rsidRPr="00BE5552" w:rsidRDefault="00B60B7D">
      <w:pPr>
        <w:pStyle w:val="EndnoteText"/>
        <w:rPr>
          <w:rFonts w:cs="Arial"/>
          <w:shd w:val="clear" w:color="auto" w:fill="FFFFFF"/>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w:t>
      </w:r>
    </w:p>
  </w:endnote>
  <w:endnote w:id="6">
    <w:p w14:paraId="69B297DB" w14:textId="5CABCE65" w:rsidR="00B60B7D" w:rsidRPr="00BE5552" w:rsidRDefault="00B60B7D">
      <w:pPr>
        <w:pStyle w:val="EndnoteText"/>
        <w:rPr>
          <w:rFonts w:cs="Arial"/>
          <w:shd w:val="clear" w:color="auto" w:fill="FFFFFF"/>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2.</w:t>
      </w:r>
    </w:p>
  </w:endnote>
  <w:endnote w:id="7">
    <w:p w14:paraId="7A84575D" w14:textId="6D2DABF8"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3.</w:t>
      </w:r>
    </w:p>
  </w:endnote>
  <w:endnote w:id="8">
    <w:p w14:paraId="742FE11C" w14:textId="679AA0F5" w:rsidR="00B60B7D" w:rsidRPr="00BE5552" w:rsidRDefault="00B60B7D">
      <w:pPr>
        <w:pStyle w:val="EndnoteText"/>
        <w:rPr>
          <w:rFonts w:cs="Arial"/>
          <w:shd w:val="clear" w:color="auto" w:fill="FFFFFF"/>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xml:space="preserve">, opened for signature 20 November 1989, 1577 UNTS 3 (entered into force 2 September 1990) art 21; </w:t>
      </w:r>
      <w:r w:rsidRPr="00BE5552">
        <w:rPr>
          <w:rFonts w:cs="Arial"/>
        </w:rPr>
        <w:t xml:space="preserve">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[38].</w:t>
      </w:r>
    </w:p>
  </w:endnote>
  <w:endnote w:id="9">
    <w:p w14:paraId="2B0D5316" w14:textId="4FEB3514" w:rsidR="00B60B7D" w:rsidRPr="00BE5552" w:rsidRDefault="00B60B7D" w:rsidP="004B6C2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[38].</w:t>
      </w:r>
    </w:p>
  </w:endnote>
  <w:endnote w:id="10">
    <w:p w14:paraId="080322AE" w14:textId="5D33261F"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[29].</w:t>
      </w:r>
    </w:p>
  </w:endnote>
  <w:endnote w:id="11">
    <w:p w14:paraId="24D3DE3D" w14:textId="5838E0AD" w:rsidR="00B60B7D" w:rsidRPr="00BE5552" w:rsidRDefault="00B60B7D" w:rsidP="00EC1F6A">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[48].</w:t>
      </w:r>
    </w:p>
  </w:endnote>
  <w:endnote w:id="12">
    <w:p w14:paraId="74D82E39" w14:textId="04D52938"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[50].</w:t>
      </w:r>
    </w:p>
  </w:endnote>
  <w:endnote w:id="13">
    <w:p w14:paraId="04EB77ED" w14:textId="513D963F"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[81].</w:t>
      </w:r>
    </w:p>
  </w:endnote>
  <w:endnote w:id="14">
    <w:p w14:paraId="168FBA5C" w14:textId="314F4FE2" w:rsidR="00B60B7D" w:rsidRPr="00BE5552" w:rsidRDefault="00B60B7D" w:rsidP="00AF2758">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[82].</w:t>
      </w:r>
    </w:p>
  </w:endnote>
  <w:endnote w:id="15">
    <w:p w14:paraId="07E23858" w14:textId="6C47BD8A" w:rsidR="00B60B7D" w:rsidRPr="00BE5552" w:rsidRDefault="00B60B7D" w:rsidP="0012300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[55].</w:t>
      </w:r>
    </w:p>
  </w:endnote>
  <w:endnote w:id="16">
    <w:p w14:paraId="1A15993A" w14:textId="05C69A05" w:rsidR="00B60B7D" w:rsidRPr="00BE5552" w:rsidRDefault="00B60B7D" w:rsidP="0012300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11 (2009): Indigenous children and their rights under the Convention</w:t>
      </w:r>
      <w:r w:rsidRPr="00BE5552">
        <w:rPr>
          <w:rFonts w:cs="Arial"/>
        </w:rPr>
        <w:t>, 50</w:t>
      </w:r>
      <w:r w:rsidRPr="00BE5552">
        <w:rPr>
          <w:rFonts w:cs="Arial"/>
          <w:vertAlign w:val="superscript"/>
        </w:rPr>
        <w:t>th</w:t>
      </w:r>
      <w:r w:rsidRPr="00BE5552">
        <w:rPr>
          <w:rFonts w:cs="Arial"/>
        </w:rPr>
        <w:t xml:space="preserve"> sess, UN Doc CRC/C/GC/11 (12 February 2009) [32].</w:t>
      </w:r>
    </w:p>
  </w:endnote>
  <w:endnote w:id="17">
    <w:p w14:paraId="21B62328" w14:textId="4A91DD0A" w:rsidR="00B60B7D" w:rsidRPr="00BE5552" w:rsidRDefault="00B60B7D">
      <w:pPr>
        <w:pStyle w:val="EndnoteText"/>
        <w:rPr>
          <w:rFonts w:cs="Arial"/>
          <w:shd w:val="clear" w:color="auto" w:fill="FFFFFF"/>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xml:space="preserve">, opened for signature 20 November 1989, 1577 UNTS 3 (entered into force 2 September 1990) art 12; </w:t>
      </w:r>
      <w:r w:rsidRPr="00BE5552">
        <w:rPr>
          <w:rFonts w:cs="Arial"/>
        </w:rPr>
        <w:t xml:space="preserve">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[43].</w:t>
      </w:r>
    </w:p>
  </w:endnote>
  <w:endnote w:id="18">
    <w:p w14:paraId="34AF7B44" w14:textId="10FD717F"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xml:space="preserve">, opened for signature 20 November 1989, 1577 UNTS 3 (entered into force 2 September 1990) art 12(2); </w:t>
      </w:r>
      <w:r w:rsidRPr="00BE5552">
        <w:rPr>
          <w:rFonts w:cs="Arial"/>
        </w:rPr>
        <w:t xml:space="preserve">Committee on the Rights of the Child, </w:t>
      </w:r>
      <w:r w:rsidRPr="00BE5552">
        <w:rPr>
          <w:rFonts w:cs="Arial"/>
          <w:i/>
        </w:rPr>
        <w:t>General Comment No. 12 (2009): The right of the child to be heard</w:t>
      </w:r>
      <w:r w:rsidRPr="00BE5552">
        <w:rPr>
          <w:rFonts w:cs="Arial"/>
        </w:rPr>
        <w:t>, 51</w:t>
      </w:r>
      <w:r w:rsidRPr="00BE5552">
        <w:rPr>
          <w:rFonts w:cs="Arial"/>
          <w:vertAlign w:val="superscript"/>
        </w:rPr>
        <w:t>st</w:t>
      </w:r>
      <w:r w:rsidRPr="00BE5552">
        <w:rPr>
          <w:rFonts w:cs="Arial"/>
        </w:rPr>
        <w:t xml:space="preserve"> sess, UN Doc CRC/C/GC/12 (1 July 2009) [32]–[33].</w:t>
      </w:r>
    </w:p>
  </w:endnote>
  <w:endnote w:id="19">
    <w:p w14:paraId="3D410087" w14:textId="1C131EFF" w:rsidR="00B60B7D" w:rsidRPr="00BE5552" w:rsidRDefault="00B60B7D">
      <w:pPr>
        <w:pStyle w:val="EndnoteText"/>
        <w:rPr>
          <w:rFonts w:cs="Arial"/>
          <w:shd w:val="clear" w:color="auto" w:fill="FFFFFF"/>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[54].</w:t>
      </w:r>
    </w:p>
  </w:endnote>
  <w:endnote w:id="20">
    <w:p w14:paraId="7CD0212A" w14:textId="492CA7AA"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8.</w:t>
      </w:r>
    </w:p>
  </w:endnote>
  <w:endnote w:id="21">
    <w:p w14:paraId="6761E244" w14:textId="2D7B9F89" w:rsidR="00B60B7D" w:rsidRPr="00BE5552" w:rsidRDefault="00B60B7D" w:rsidP="00A23BF4">
      <w:pPr>
        <w:pStyle w:val="EndnoteText"/>
        <w:rPr>
          <w:rFonts w:cs="Arial"/>
          <w:shd w:val="clear" w:color="auto" w:fill="FFFFFF"/>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[55].</w:t>
      </w:r>
    </w:p>
  </w:endnote>
  <w:endnote w:id="22">
    <w:p w14:paraId="4F857748" w14:textId="23CC4916"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[55].</w:t>
      </w:r>
    </w:p>
  </w:endnote>
  <w:endnote w:id="23">
    <w:p w14:paraId="3E87B064" w14:textId="07BCD38D"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9(1).</w:t>
      </w:r>
    </w:p>
  </w:endnote>
  <w:endnote w:id="24">
    <w:p w14:paraId="7EE40EC7" w14:textId="21911555"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9(2).</w:t>
      </w:r>
    </w:p>
  </w:endnote>
  <w:endnote w:id="25">
    <w:p w14:paraId="012FA8F3" w14:textId="6C9E8828"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9(3).</w:t>
      </w:r>
    </w:p>
  </w:endnote>
  <w:endnote w:id="26">
    <w:p w14:paraId="3219947B" w14:textId="4496A44A"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[61].</w:t>
      </w:r>
    </w:p>
  </w:endnote>
  <w:endnote w:id="27">
    <w:p w14:paraId="6DD0E635" w14:textId="304CCC1A"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19.</w:t>
      </w:r>
    </w:p>
  </w:endnote>
  <w:endnote w:id="28">
    <w:p w14:paraId="2B5495B0" w14:textId="37B27831"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20.</w:t>
      </w:r>
    </w:p>
  </w:endnote>
  <w:endnote w:id="29">
    <w:p w14:paraId="2EB28D60" w14:textId="3DF5D599" w:rsidR="00B60B7D" w:rsidRPr="00BE5552" w:rsidRDefault="00B60B7D" w:rsidP="00BD6354">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[56].</w:t>
      </w:r>
    </w:p>
  </w:endnote>
  <w:endnote w:id="30">
    <w:p w14:paraId="12E66CBA" w14:textId="3250E6DF" w:rsidR="00B60B7D" w:rsidRPr="00BE5552" w:rsidRDefault="00B60B7D" w:rsidP="00BD6354">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[57].</w:t>
      </w:r>
    </w:p>
  </w:endnote>
  <w:endnote w:id="31">
    <w:p w14:paraId="625221EE" w14:textId="1353AB38"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21.</w:t>
      </w:r>
    </w:p>
  </w:endnote>
  <w:endnote w:id="32">
    <w:p w14:paraId="386C7A59" w14:textId="6A1F884F"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21(a).</w:t>
      </w:r>
    </w:p>
  </w:endnote>
  <w:endnote w:id="33">
    <w:p w14:paraId="0F2F2F6E" w14:textId="5861E8EB" w:rsidR="00B60B7D" w:rsidRPr="00BE5552" w:rsidRDefault="00B60B7D" w:rsidP="009112E3">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 xml:space="preserve">General Comment No. 20 (2016) on the implementation of the rights of the child during adolescence, </w:t>
      </w:r>
      <w:r w:rsidRPr="00BE5552">
        <w:rPr>
          <w:rFonts w:cs="Arial"/>
        </w:rPr>
        <w:t>UN Doc CRC/C/GC/20 (6 December 2016)</w:t>
      </w:r>
      <w:r w:rsidRPr="00BE5552">
        <w:rPr>
          <w:rFonts w:cs="Arial"/>
          <w:i/>
        </w:rPr>
        <w:t xml:space="preserve"> </w:t>
      </w:r>
      <w:r w:rsidRPr="00BE5552">
        <w:rPr>
          <w:rFonts w:cs="Arial"/>
        </w:rPr>
        <w:t>[39].</w:t>
      </w:r>
    </w:p>
  </w:endnote>
  <w:endnote w:id="34">
    <w:p w14:paraId="18055374" w14:textId="4527AE79" w:rsidR="00B60B7D" w:rsidRPr="00BE5552" w:rsidRDefault="00B60B7D" w:rsidP="009112E3">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 xml:space="preserve">General Comment No. 20 (2016) on the implementation of the rights of the child during adolescence, </w:t>
      </w:r>
      <w:r w:rsidRPr="00BE5552">
        <w:rPr>
          <w:rFonts w:cs="Arial"/>
        </w:rPr>
        <w:t>UN Doc CRC/C/GC/20 (6 December 2016)</w:t>
      </w:r>
      <w:r w:rsidRPr="00BE5552">
        <w:rPr>
          <w:rFonts w:cs="Arial"/>
          <w:i/>
        </w:rPr>
        <w:t xml:space="preserve"> </w:t>
      </w:r>
      <w:r w:rsidRPr="00BE5552">
        <w:rPr>
          <w:rFonts w:cs="Arial"/>
        </w:rPr>
        <w:t>[39].</w:t>
      </w:r>
    </w:p>
  </w:endnote>
  <w:endnote w:id="35">
    <w:p w14:paraId="475D363B" w14:textId="1C5A5DB0"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Consideration of reports submitted by States parties under article 44 of the Convention, Concluding observations: Australia</w:t>
      </w:r>
      <w:r w:rsidRPr="00BE5552">
        <w:rPr>
          <w:rFonts w:cs="Arial"/>
        </w:rPr>
        <w:t>, 60</w:t>
      </w:r>
      <w:r w:rsidRPr="00BE5552">
        <w:rPr>
          <w:rFonts w:cs="Arial"/>
          <w:vertAlign w:val="superscript"/>
        </w:rPr>
        <w:t>th</w:t>
      </w:r>
      <w:r w:rsidRPr="00BE5552">
        <w:rPr>
          <w:rFonts w:cs="Arial"/>
        </w:rPr>
        <w:t xml:space="preserve"> sess, UN Doc CRC/C/AUS/CO/4 (28 August 2012) [53].</w:t>
      </w:r>
    </w:p>
  </w:endnote>
  <w:endnote w:id="36">
    <w:p w14:paraId="2692721F" w14:textId="64496199" w:rsidR="00B60B7D" w:rsidRPr="00BE5552" w:rsidRDefault="00B60B7D" w:rsidP="0099751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Consideration of reports submitted by States parties under article 44 of the Convention, Concluding observations: Australia</w:t>
      </w:r>
      <w:r w:rsidRPr="00BE5552">
        <w:rPr>
          <w:rFonts w:cs="Arial"/>
        </w:rPr>
        <w:t>, 60</w:t>
      </w:r>
      <w:r w:rsidRPr="00BE5552">
        <w:rPr>
          <w:rFonts w:cs="Arial"/>
          <w:vertAlign w:val="superscript"/>
        </w:rPr>
        <w:t>th</w:t>
      </w:r>
      <w:r w:rsidRPr="00BE5552">
        <w:rPr>
          <w:rFonts w:cs="Arial"/>
        </w:rPr>
        <w:t xml:space="preserve"> sess, UN Doc CRC/C/AUS/CO/4 (28 August 2012) [54].</w:t>
      </w:r>
    </w:p>
  </w:endnote>
  <w:endnote w:id="37">
    <w:p w14:paraId="47E7F273" w14:textId="77777777" w:rsidR="00B60B7D" w:rsidRPr="00BE5552" w:rsidRDefault="00B60B7D" w:rsidP="00246063">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BE5552">
        <w:rPr>
          <w:rFonts w:cs="Arial"/>
        </w:rPr>
        <w:t xml:space="preserve"> (2018) 17. At </w:t>
      </w:r>
      <w:hyperlink r:id="rId5" w:history="1">
        <w:r w:rsidRPr="00BE5552">
          <w:rPr>
            <w:rStyle w:val="Hyperlink"/>
            <w:rFonts w:cs="Arial"/>
          </w:rPr>
          <w:t>http://tbinternet.ohchr.org/_layouts/treatybodyexternal/Download.aspx?symbolno=CRC/AUS/5-6&amp;Lang=en</w:t>
        </w:r>
      </w:hyperlink>
      <w:r w:rsidRPr="00BE5552">
        <w:rPr>
          <w:rFonts w:cs="Arial"/>
        </w:rPr>
        <w:t xml:space="preserve"> (viewed 14 May 2018).</w:t>
      </w:r>
    </w:p>
  </w:endnote>
  <w:endnote w:id="38">
    <w:p w14:paraId="284CF919" w14:textId="5D7FEF81" w:rsidR="00B60B7D" w:rsidRPr="00BE5552" w:rsidRDefault="00B60B7D" w:rsidP="00246063">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 xml:space="preserve">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Endnotes and Appendices </w:t>
      </w:r>
      <w:r w:rsidRPr="00BE5552">
        <w:rPr>
          <w:rFonts w:cs="Arial"/>
        </w:rPr>
        <w:t xml:space="preserve">(2018) 33-35, 68-70. At </w:t>
      </w:r>
      <w:hyperlink r:id="rId6" w:history="1">
        <w:r w:rsidRPr="00BE5552">
          <w:rPr>
            <w:rStyle w:val="Hyperlink"/>
            <w:rFonts w:cs="Arial"/>
          </w:rPr>
          <w:t>http://tbinternet.ohchr.org/_layouts/treatybodyexternal/Download.aspx?symbolno=INT/CRC/ADR/AUS/29898&amp;Lang=en</w:t>
        </w:r>
      </w:hyperlink>
      <w:r w:rsidRPr="00BE5552">
        <w:rPr>
          <w:rFonts w:cs="Arial"/>
        </w:rPr>
        <w:t xml:space="preserve"> (viewed 14 May 2018). </w:t>
      </w:r>
    </w:p>
  </w:endnote>
  <w:endnote w:id="39">
    <w:p w14:paraId="2BFD0D53" w14:textId="77777777" w:rsidR="00B60B7D" w:rsidRPr="00BE5552" w:rsidRDefault="00B60B7D" w:rsidP="00246063">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BE5552">
        <w:rPr>
          <w:rFonts w:cs="Arial"/>
        </w:rPr>
        <w:t xml:space="preserve"> (2018) 17. At </w:t>
      </w:r>
      <w:hyperlink r:id="rId7" w:history="1">
        <w:r w:rsidRPr="00BE5552">
          <w:rPr>
            <w:rStyle w:val="Hyperlink"/>
            <w:rFonts w:cs="Arial"/>
          </w:rPr>
          <w:t>http://tbinternet.ohchr.org/_layouts/treatybodyexternal/Download.aspx?symbolno=CRC/AUS/5-6&amp;Lang=en</w:t>
        </w:r>
      </w:hyperlink>
      <w:r w:rsidRPr="00BE5552">
        <w:rPr>
          <w:rFonts w:cs="Arial"/>
        </w:rPr>
        <w:t xml:space="preserve"> (viewed 14 May 2018); Australian Government, </w:t>
      </w:r>
      <w:r w:rsidRPr="00BE5552">
        <w:rPr>
          <w:rFonts w:cs="Arial"/>
          <w:i/>
        </w:rPr>
        <w:t xml:space="preserve">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Endnotes and Appendices </w:t>
      </w:r>
      <w:r w:rsidRPr="00BE5552">
        <w:rPr>
          <w:rFonts w:cs="Arial"/>
        </w:rPr>
        <w:t xml:space="preserve">(2018) 68-70. At </w:t>
      </w:r>
      <w:hyperlink r:id="rId8" w:history="1">
        <w:r w:rsidRPr="00BE5552">
          <w:rPr>
            <w:rStyle w:val="Hyperlink"/>
            <w:rFonts w:cs="Arial"/>
          </w:rPr>
          <w:t>http://tbinternet.ohchr.org/_layouts/treatybodyexternal/Download.aspx?symbolno=INT/CRC/ADR/AUS/29898&amp;Lang=en</w:t>
        </w:r>
      </w:hyperlink>
      <w:r w:rsidRPr="00BE5552">
        <w:rPr>
          <w:rFonts w:cs="Arial"/>
        </w:rPr>
        <w:t xml:space="preserve"> (viewed 14 May 2018). </w:t>
      </w:r>
    </w:p>
  </w:endnote>
  <w:endnote w:id="40">
    <w:p w14:paraId="25F4E971" w14:textId="77777777" w:rsidR="00B60B7D" w:rsidRPr="00BE5552" w:rsidRDefault="00B60B7D" w:rsidP="00246063">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BE5552">
        <w:rPr>
          <w:rFonts w:cs="Arial"/>
        </w:rPr>
        <w:t xml:space="preserve"> (2018) 17. At </w:t>
      </w:r>
      <w:hyperlink r:id="rId9" w:history="1">
        <w:r w:rsidRPr="00BE5552">
          <w:rPr>
            <w:rStyle w:val="Hyperlink"/>
            <w:rFonts w:cs="Arial"/>
          </w:rPr>
          <w:t>http://tbinternet.ohchr.org/_layouts/treatybodyexternal/Download.aspx?symbolno=CRC/AUS/5-6&amp;Lang=en</w:t>
        </w:r>
      </w:hyperlink>
      <w:r w:rsidRPr="00BE5552">
        <w:rPr>
          <w:rFonts w:cs="Arial"/>
        </w:rPr>
        <w:t xml:space="preserve"> (viewed 14 May 2018); Australian Government, </w:t>
      </w:r>
      <w:r w:rsidRPr="00BE5552">
        <w:rPr>
          <w:rFonts w:cs="Arial"/>
          <w:i/>
        </w:rPr>
        <w:t xml:space="preserve">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Endnotes and Appendices </w:t>
      </w:r>
      <w:r w:rsidRPr="00BE5552">
        <w:rPr>
          <w:rFonts w:cs="Arial"/>
        </w:rPr>
        <w:t xml:space="preserve">(2018) 68-70. At </w:t>
      </w:r>
      <w:hyperlink r:id="rId10" w:history="1">
        <w:r w:rsidRPr="00BE5552">
          <w:rPr>
            <w:rStyle w:val="Hyperlink"/>
            <w:rFonts w:cs="Arial"/>
          </w:rPr>
          <w:t>http://tbinternet.ohchr.org/_layouts/treatybodyexternal/Download.aspx?symbolno=INT/CRC/ADR/AUS/29898&amp;Lang=en</w:t>
        </w:r>
      </w:hyperlink>
      <w:r w:rsidRPr="00BE5552">
        <w:rPr>
          <w:rFonts w:cs="Arial"/>
        </w:rPr>
        <w:t xml:space="preserve"> (viewed 14 May 2018). </w:t>
      </w:r>
    </w:p>
  </w:endnote>
  <w:endnote w:id="41">
    <w:p w14:paraId="3FAC680C" w14:textId="77777777" w:rsidR="00B60B7D" w:rsidRPr="00BE5552" w:rsidRDefault="00B60B7D" w:rsidP="00246063">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BE5552">
        <w:rPr>
          <w:rFonts w:cs="Arial"/>
        </w:rPr>
        <w:t xml:space="preserve"> (2018) 17. At </w:t>
      </w:r>
      <w:hyperlink r:id="rId11" w:history="1">
        <w:r w:rsidRPr="00BE5552">
          <w:rPr>
            <w:rStyle w:val="Hyperlink"/>
            <w:rFonts w:cs="Arial"/>
          </w:rPr>
          <w:t>http://tbinternet.ohchr.org/_layouts/treatybodyexternal/Download.aspx?symbolno=CRC/AUS/5-6&amp;Lang=en</w:t>
        </w:r>
      </w:hyperlink>
      <w:r w:rsidRPr="00BE5552">
        <w:rPr>
          <w:rFonts w:cs="Arial"/>
        </w:rPr>
        <w:t xml:space="preserve"> (viewed 14 May 2018); Australian Government, </w:t>
      </w:r>
      <w:r w:rsidRPr="00BE5552">
        <w:rPr>
          <w:rFonts w:cs="Arial"/>
          <w:i/>
        </w:rPr>
        <w:t xml:space="preserve">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 Endnotes and Appendices </w:t>
      </w:r>
      <w:r w:rsidRPr="00BE5552">
        <w:rPr>
          <w:rFonts w:cs="Arial"/>
        </w:rPr>
        <w:t xml:space="preserve">(2018) 68-70. At </w:t>
      </w:r>
      <w:hyperlink r:id="rId12" w:history="1">
        <w:r w:rsidRPr="00BE5552">
          <w:rPr>
            <w:rStyle w:val="Hyperlink"/>
            <w:rFonts w:cs="Arial"/>
          </w:rPr>
          <w:t>http://tbinternet.ohchr.org/_layouts/treatybodyexternal/Download.aspx?symbolno=INT/CRC/ADR/AUS/29898&amp;Lang=en</w:t>
        </w:r>
      </w:hyperlink>
      <w:r w:rsidRPr="00BE5552">
        <w:rPr>
          <w:rFonts w:cs="Arial"/>
        </w:rPr>
        <w:t xml:space="preserve"> (viewed 14 May 2018). </w:t>
      </w:r>
    </w:p>
  </w:endnote>
  <w:endnote w:id="42">
    <w:p w14:paraId="31838D69" w14:textId="0524E7D9"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Style w:val="Emphasis"/>
          <w:rFonts w:cs="Arial"/>
          <w:shd w:val="clear" w:color="auto" w:fill="FFFFFF"/>
        </w:rPr>
        <w:t>Convention on the Rights of the Child</w:t>
      </w:r>
      <w:r w:rsidRPr="00BE5552">
        <w:rPr>
          <w:rFonts w:cs="Arial"/>
          <w:shd w:val="clear" w:color="auto" w:fill="FFFFFF"/>
        </w:rPr>
        <w:t>, opened for signature 20 November 1989, 1577 UNTS 3 (entered into force 2 September 1990) art 30.</w:t>
      </w:r>
    </w:p>
  </w:endnote>
  <w:endnote w:id="43">
    <w:p w14:paraId="1F8EF35B" w14:textId="47AA19FF" w:rsidR="00B60B7D" w:rsidRPr="00BE5552" w:rsidRDefault="00B60B7D" w:rsidP="00CF4F07">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11 (2009): Indigenous children and their rights under the Convention</w:t>
      </w:r>
      <w:r w:rsidRPr="00BE5552">
        <w:rPr>
          <w:rFonts w:cs="Arial"/>
        </w:rPr>
        <w:t>, 50</w:t>
      </w:r>
      <w:r w:rsidRPr="00BE5552">
        <w:rPr>
          <w:rFonts w:cs="Arial"/>
          <w:vertAlign w:val="superscript"/>
        </w:rPr>
        <w:t>th</w:t>
      </w:r>
      <w:r w:rsidRPr="00BE5552">
        <w:rPr>
          <w:rFonts w:cs="Arial"/>
        </w:rPr>
        <w:t xml:space="preserve"> sess, UN Doc CRC/C/GC/11 (12 February 2009) [16]. </w:t>
      </w:r>
    </w:p>
  </w:endnote>
  <w:endnote w:id="44">
    <w:p w14:paraId="73061B90" w14:textId="4EC9E185" w:rsidR="00B60B7D" w:rsidRPr="00BE5552" w:rsidRDefault="00B60B7D">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[55].</w:t>
      </w:r>
    </w:p>
  </w:endnote>
  <w:endnote w:id="45">
    <w:p w14:paraId="5B89423F" w14:textId="4650E4AD" w:rsidR="00B60B7D" w:rsidRPr="00BE5552" w:rsidRDefault="00B60B7D" w:rsidP="00AA092F">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[55].</w:t>
      </w:r>
    </w:p>
  </w:endnote>
  <w:endnote w:id="46">
    <w:p w14:paraId="2927B1E7" w14:textId="146E6FBD" w:rsidR="00B60B7D" w:rsidRPr="00BE5552" w:rsidRDefault="00B60B7D" w:rsidP="008D5A0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11 (2009): Indigenous children and their rights under the Convention</w:t>
      </w:r>
      <w:r w:rsidRPr="00BE5552">
        <w:rPr>
          <w:rFonts w:cs="Arial"/>
        </w:rPr>
        <w:t>, 50</w:t>
      </w:r>
      <w:r w:rsidRPr="00BE5552">
        <w:rPr>
          <w:rFonts w:cs="Arial"/>
          <w:vertAlign w:val="superscript"/>
        </w:rPr>
        <w:t>th</w:t>
      </w:r>
      <w:r w:rsidRPr="00BE5552">
        <w:rPr>
          <w:rFonts w:cs="Arial"/>
        </w:rPr>
        <w:t xml:space="preserve"> sess, UN Doc CRC/C/GC/11 (12 February 2009) [48].</w:t>
      </w:r>
    </w:p>
  </w:endnote>
  <w:endnote w:id="47">
    <w:p w14:paraId="6E71A203" w14:textId="195A27AD" w:rsidR="00B60B7D" w:rsidRPr="00BE5552" w:rsidRDefault="00B60B7D" w:rsidP="00700F50">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11 (2009): Indigenous children and their rights under the Convention</w:t>
      </w:r>
      <w:r w:rsidRPr="00BE5552">
        <w:rPr>
          <w:rFonts w:cs="Arial"/>
        </w:rPr>
        <w:t>, 50</w:t>
      </w:r>
      <w:r w:rsidRPr="00BE5552">
        <w:rPr>
          <w:rFonts w:cs="Arial"/>
          <w:vertAlign w:val="superscript"/>
        </w:rPr>
        <w:t>th</w:t>
      </w:r>
      <w:r w:rsidRPr="00BE5552">
        <w:rPr>
          <w:rFonts w:cs="Arial"/>
        </w:rPr>
        <w:t xml:space="preserve"> sess, UN Doc CRC/C/GC/11 (12 February 2009) [47].</w:t>
      </w:r>
    </w:p>
  </w:endnote>
  <w:endnote w:id="48">
    <w:p w14:paraId="3780CF54" w14:textId="56429104" w:rsidR="00B60B7D" w:rsidRPr="00BE5552" w:rsidRDefault="00B60B7D" w:rsidP="00F02C29">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11 (2009): Indigenous children and their rights under the Convention</w:t>
      </w:r>
      <w:r w:rsidRPr="00BE5552">
        <w:rPr>
          <w:rFonts w:cs="Arial"/>
        </w:rPr>
        <w:t>, 50</w:t>
      </w:r>
      <w:r w:rsidRPr="00BE5552">
        <w:rPr>
          <w:rFonts w:cs="Arial"/>
          <w:vertAlign w:val="superscript"/>
        </w:rPr>
        <w:t>th</w:t>
      </w:r>
      <w:r w:rsidRPr="00BE5552">
        <w:rPr>
          <w:rFonts w:cs="Arial"/>
        </w:rPr>
        <w:t xml:space="preserve"> sess, UN Doc CRC/C/GC/11 (12 February 2009) [47].</w:t>
      </w:r>
    </w:p>
  </w:endnote>
  <w:endnote w:id="49">
    <w:p w14:paraId="7011D142" w14:textId="11C2DFA2"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Child protection Australia 2016-17, Child Welfare Series Number 68</w:t>
      </w:r>
      <w:r w:rsidRPr="00BE5552">
        <w:rPr>
          <w:rFonts w:cs="Arial"/>
        </w:rPr>
        <w:t xml:space="preserve"> (2018) 45. At </w:t>
      </w:r>
      <w:hyperlink r:id="rId13" w:history="1">
        <w:r w:rsidRPr="00BE5552">
          <w:rPr>
            <w:rStyle w:val="Hyperlink"/>
            <w:rFonts w:cs="Arial"/>
          </w:rPr>
          <w:t>https://www.aihw.gov.au/reports/child-protection/child-protection-australia-2016-17/contents/table-of-contents-print-report</w:t>
        </w:r>
      </w:hyperlink>
      <w:r w:rsidRPr="00BE5552">
        <w:rPr>
          <w:rFonts w:cs="Arial"/>
        </w:rPr>
        <w:t xml:space="preserve"> (viewed 14 May 2018). </w:t>
      </w:r>
    </w:p>
  </w:endnote>
  <w:endnote w:id="50">
    <w:p w14:paraId="5652C05D" w14:textId="58929BA9"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Child protection Australia 2016-17, Child Welfare Series Number 68</w:t>
      </w:r>
      <w:r w:rsidRPr="00BE5552">
        <w:rPr>
          <w:rFonts w:cs="Arial"/>
        </w:rPr>
        <w:t xml:space="preserve"> (2018) 56. At </w:t>
      </w:r>
      <w:hyperlink r:id="rId14" w:history="1">
        <w:r w:rsidRPr="00BE5552">
          <w:rPr>
            <w:rStyle w:val="Hyperlink"/>
            <w:rFonts w:cs="Arial"/>
          </w:rPr>
          <w:t>https://www.aihw.gov.au/reports/child-protection/child-protection-australia-2016-17/contents/table-of-contents-print-report</w:t>
        </w:r>
      </w:hyperlink>
      <w:r w:rsidRPr="00BE5552">
        <w:rPr>
          <w:rFonts w:cs="Arial"/>
        </w:rPr>
        <w:t xml:space="preserve"> (viewed 14 May 2018). </w:t>
      </w:r>
    </w:p>
  </w:endnote>
  <w:endnote w:id="51">
    <w:p w14:paraId="446A4671" w14:textId="540413EA"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Child protection Australia 2016-17, Child Welfare Series Number 68</w:t>
      </w:r>
      <w:r w:rsidRPr="00BE5552">
        <w:rPr>
          <w:rFonts w:cs="Arial"/>
        </w:rPr>
        <w:t xml:space="preserve"> (2018) 56. At </w:t>
      </w:r>
      <w:hyperlink r:id="rId15" w:history="1">
        <w:r w:rsidRPr="00BE5552">
          <w:rPr>
            <w:rStyle w:val="Hyperlink"/>
            <w:rFonts w:cs="Arial"/>
          </w:rPr>
          <w:t>https://www.aihw.gov.au/reports/child-protection/child-protection-australia-2016-17/contents/table-of-contents-print-report</w:t>
        </w:r>
      </w:hyperlink>
      <w:r w:rsidRPr="00BE5552">
        <w:rPr>
          <w:rFonts w:cs="Arial"/>
        </w:rPr>
        <w:t xml:space="preserve"> (viewed 14 May 2018). </w:t>
      </w:r>
    </w:p>
  </w:endnote>
  <w:endnote w:id="52">
    <w:p w14:paraId="0EB024EA" w14:textId="39810B43"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Child protection Australia 2016-17, Child Welfare Series Number 68</w:t>
      </w:r>
      <w:r w:rsidRPr="00BE5552">
        <w:rPr>
          <w:rFonts w:cs="Arial"/>
        </w:rPr>
        <w:t xml:space="preserve"> (2018) 48. At </w:t>
      </w:r>
      <w:hyperlink r:id="rId16" w:history="1">
        <w:r w:rsidRPr="00BE5552">
          <w:rPr>
            <w:rStyle w:val="Hyperlink"/>
            <w:rFonts w:cs="Arial"/>
          </w:rPr>
          <w:t>https://www.aihw.gov.au/reports/child-protection/child-protection-australia-2016-17/contents/table-of-contents-print-report</w:t>
        </w:r>
      </w:hyperlink>
      <w:r w:rsidRPr="00BE5552">
        <w:rPr>
          <w:rFonts w:cs="Arial"/>
        </w:rPr>
        <w:t xml:space="preserve"> (viewed 14 May 2018).</w:t>
      </w:r>
    </w:p>
  </w:endnote>
  <w:endnote w:id="53">
    <w:p w14:paraId="7A698466" w14:textId="71B75302" w:rsidR="00B60B7D" w:rsidRPr="00BE5552" w:rsidRDefault="00B60B7D" w:rsidP="00332C40">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Child protection Australia 2016-17, Child Welfare Series Number 68</w:t>
      </w:r>
      <w:r w:rsidRPr="00BE5552">
        <w:rPr>
          <w:rFonts w:cs="Arial"/>
        </w:rPr>
        <w:t xml:space="preserve"> (2018) 50. At </w:t>
      </w:r>
      <w:hyperlink r:id="rId17" w:history="1">
        <w:r w:rsidRPr="00BE5552">
          <w:rPr>
            <w:rStyle w:val="Hyperlink"/>
            <w:rFonts w:cs="Arial"/>
          </w:rPr>
          <w:t>https://www.aihw.gov.au/reports/child-protection/child-protection-australia-2016-17/contents/table-of-contents-print-report</w:t>
        </w:r>
      </w:hyperlink>
      <w:r w:rsidRPr="00BE5552">
        <w:rPr>
          <w:rFonts w:cs="Arial"/>
        </w:rPr>
        <w:t xml:space="preserve"> (viewed 14 May 2018).</w:t>
      </w:r>
    </w:p>
  </w:endnote>
  <w:endnote w:id="54">
    <w:p w14:paraId="6F37C307" w14:textId="4E66BD59" w:rsidR="00B60B7D" w:rsidRPr="00BE5552" w:rsidRDefault="00B60B7D" w:rsidP="005C646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Consideration of reports submitted by States parties under article 44 of the Convention, Concluding observations: Australia</w:t>
      </w:r>
      <w:r w:rsidRPr="00BE5552">
        <w:rPr>
          <w:rFonts w:cs="Arial"/>
        </w:rPr>
        <w:t>, 60</w:t>
      </w:r>
      <w:r w:rsidRPr="00BE5552">
        <w:rPr>
          <w:rFonts w:cs="Arial"/>
          <w:vertAlign w:val="superscript"/>
        </w:rPr>
        <w:t>th</w:t>
      </w:r>
      <w:r w:rsidRPr="00BE5552">
        <w:rPr>
          <w:rFonts w:cs="Arial"/>
        </w:rPr>
        <w:t xml:space="preserve"> sess, UN Doc CRC/C/AUS/CO/4 (28 August 2012) [51].</w:t>
      </w:r>
    </w:p>
  </w:endnote>
  <w:endnote w:id="55">
    <w:p w14:paraId="4941C9BF" w14:textId="281449A5" w:rsidR="00B60B7D" w:rsidRPr="00BE5552" w:rsidRDefault="00B60B7D" w:rsidP="005C646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Consideration of reports submitted by States parties under article 44 of the Convention, Concluding observations: Australia</w:t>
      </w:r>
      <w:r w:rsidRPr="00BE5552">
        <w:rPr>
          <w:rFonts w:cs="Arial"/>
        </w:rPr>
        <w:t>, 60</w:t>
      </w:r>
      <w:r w:rsidRPr="00BE5552">
        <w:rPr>
          <w:rFonts w:cs="Arial"/>
          <w:vertAlign w:val="superscript"/>
        </w:rPr>
        <w:t>th</w:t>
      </w:r>
      <w:r w:rsidRPr="00BE5552">
        <w:rPr>
          <w:rFonts w:cs="Arial"/>
        </w:rPr>
        <w:t xml:space="preserve"> sess, UN Doc CRC/C/AUS/CO/4 (28 August 2012) [51].</w:t>
      </w:r>
    </w:p>
  </w:endnote>
  <w:endnote w:id="56">
    <w:p w14:paraId="7BE574EE" w14:textId="7ED1E464" w:rsidR="00B60B7D" w:rsidRPr="00BE5552" w:rsidRDefault="00B60B7D" w:rsidP="005C6466">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Consideration of reports submitted by States parties under article 44 of the Convention, Concluding observations: Australia</w:t>
      </w:r>
      <w:r w:rsidRPr="00BE5552">
        <w:rPr>
          <w:rFonts w:cs="Arial"/>
        </w:rPr>
        <w:t>, 60</w:t>
      </w:r>
      <w:r w:rsidRPr="00BE5552">
        <w:rPr>
          <w:rFonts w:cs="Arial"/>
          <w:vertAlign w:val="superscript"/>
        </w:rPr>
        <w:t>th</w:t>
      </w:r>
      <w:r w:rsidRPr="00BE5552">
        <w:rPr>
          <w:rFonts w:cs="Arial"/>
        </w:rPr>
        <w:t xml:space="preserve"> sess, UN Doc CRC/C/AUS/CO/4 (28 August 2012) [52].</w:t>
      </w:r>
    </w:p>
  </w:endnote>
  <w:endnote w:id="57">
    <w:p w14:paraId="7291D52E" w14:textId="17FFD5D0" w:rsidR="00B60B7D" w:rsidRPr="00BE5552" w:rsidRDefault="00B60B7D">
      <w:pPr>
        <w:pStyle w:val="EndnoteText"/>
        <w:rPr>
          <w:rFonts w:cs="Arial"/>
        </w:rPr>
      </w:pPr>
      <w:r w:rsidRPr="00BE5552">
        <w:rPr>
          <w:rStyle w:val="EndnoteReference"/>
          <w:rFonts w:cs="Arial"/>
        </w:rPr>
        <w:endnoteRef/>
      </w:r>
      <w:r w:rsidRPr="00BE5552">
        <w:rPr>
          <w:rFonts w:cs="Arial"/>
        </w:rPr>
        <w:t xml:space="preserve"> National Children’s Commissioner, </w:t>
      </w:r>
      <w:r w:rsidRPr="00BE5552">
        <w:rPr>
          <w:rFonts w:cs="Arial"/>
          <w:i/>
        </w:rPr>
        <w:t>Children’s Rights Report 2013</w:t>
      </w:r>
      <w:r w:rsidRPr="00BE5552">
        <w:rPr>
          <w:rFonts w:cs="Arial"/>
        </w:rPr>
        <w:t xml:space="preserve"> (2013) 25-26, 87-88. At </w:t>
      </w:r>
      <w:hyperlink r:id="rId18" w:history="1">
        <w:r w:rsidRPr="00BE5552">
          <w:rPr>
            <w:rStyle w:val="Hyperlink"/>
            <w:rFonts w:cs="Arial"/>
          </w:rPr>
          <w:t>https://www.humanrights.gov.au/our-work/childrens-rights/publications/childrens-rights-report-2013</w:t>
        </w:r>
      </w:hyperlink>
      <w:r w:rsidRPr="00BE5552">
        <w:rPr>
          <w:rFonts w:cs="Arial"/>
        </w:rPr>
        <w:t xml:space="preserve"> (viewed 3 May 2018).</w:t>
      </w:r>
    </w:p>
  </w:endnote>
  <w:endnote w:id="58">
    <w:p w14:paraId="4530F8A4" w14:textId="55AF1EB9" w:rsidR="00B60B7D" w:rsidRPr="00BE5552" w:rsidRDefault="00B60B7D" w:rsidP="000E2F42">
      <w:pPr>
        <w:pStyle w:val="EndnoteText"/>
        <w:rPr>
          <w:rFonts w:cs="Arial"/>
        </w:rPr>
      </w:pPr>
      <w:r w:rsidRPr="00BE5552">
        <w:rPr>
          <w:rStyle w:val="EndnoteReference"/>
          <w:rFonts w:cs="Arial"/>
        </w:rPr>
        <w:endnoteRef/>
      </w:r>
      <w:r w:rsidRPr="00BE5552">
        <w:rPr>
          <w:rFonts w:cs="Arial"/>
        </w:rPr>
        <w:t xml:space="preserve"> Evidence to Senate Community Affairs References Committee, Parliament of Australia, Sydney, 18 February 2015, 1-6 (Megan Mitchell, National Children’s Commissioner).</w:t>
      </w:r>
    </w:p>
  </w:endnote>
  <w:endnote w:id="59">
    <w:p w14:paraId="4B4E684D" w14:textId="57EF2F09" w:rsidR="00B60B7D" w:rsidRPr="00BE5552" w:rsidRDefault="00B60B7D">
      <w:pPr>
        <w:pStyle w:val="EndnoteText"/>
        <w:rPr>
          <w:rFonts w:cs="Arial"/>
        </w:rPr>
      </w:pPr>
      <w:r w:rsidRPr="00BE5552">
        <w:rPr>
          <w:rStyle w:val="EndnoteReference"/>
          <w:rFonts w:cs="Arial"/>
        </w:rPr>
        <w:endnoteRef/>
      </w:r>
      <w:r w:rsidRPr="00BE5552">
        <w:rPr>
          <w:rFonts w:cs="Arial"/>
        </w:rPr>
        <w:t xml:space="preserve"> National Children’s Commissioner, </w:t>
      </w:r>
      <w:r w:rsidRPr="00BE5552">
        <w:rPr>
          <w:rFonts w:cs="Arial"/>
          <w:i/>
        </w:rPr>
        <w:t>Children’s Rights Report 2013</w:t>
      </w:r>
      <w:r w:rsidRPr="00BE5552">
        <w:rPr>
          <w:rFonts w:cs="Arial"/>
        </w:rPr>
        <w:t xml:space="preserve"> (2013) 87-88. At </w:t>
      </w:r>
      <w:hyperlink r:id="rId19" w:history="1">
        <w:r w:rsidRPr="00BE5552">
          <w:rPr>
            <w:rStyle w:val="Hyperlink"/>
            <w:rFonts w:cs="Arial"/>
          </w:rPr>
          <w:t>https://www.humanrights.gov.au/our-work/childrens-rights/publications/childrens-rights-report-2013</w:t>
        </w:r>
      </w:hyperlink>
      <w:r w:rsidRPr="00BE5552">
        <w:rPr>
          <w:rFonts w:cs="Arial"/>
        </w:rPr>
        <w:t xml:space="preserve"> (viewed 3 May 2018).</w:t>
      </w:r>
    </w:p>
  </w:endnote>
  <w:endnote w:id="60">
    <w:p w14:paraId="6A752BF8" w14:textId="5F9CB3E1"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 xml:space="preserve">Protecting Children is Everyone’s Business – National Framework for Protecting Australia’s Children 2009-2020 </w:t>
      </w:r>
      <w:r w:rsidRPr="00BE5552">
        <w:rPr>
          <w:rFonts w:cs="Arial"/>
        </w:rPr>
        <w:t xml:space="preserve">(2009). At </w:t>
      </w:r>
      <w:hyperlink r:id="rId20" w:history="1">
        <w:r w:rsidRPr="00BE5552">
          <w:rPr>
            <w:rStyle w:val="Hyperlink"/>
            <w:rFonts w:cs="Arial"/>
          </w:rPr>
          <w:t>https://www.dss.gov.au/our-responsibilities/families-and-children/publications-articles/protecting-children-is-everyones-business</w:t>
        </w:r>
      </w:hyperlink>
      <w:r w:rsidRPr="00BE5552">
        <w:rPr>
          <w:rFonts w:cs="Arial"/>
        </w:rPr>
        <w:t xml:space="preserve"> (viewed 30 April 2017).</w:t>
      </w:r>
    </w:p>
  </w:endnote>
  <w:endnote w:id="61">
    <w:p w14:paraId="268E1F86" w14:textId="3552BCAD" w:rsidR="00B60B7D" w:rsidRPr="00BE5552" w:rsidRDefault="00B60B7D" w:rsidP="00384C3B">
      <w:pPr>
        <w:pStyle w:val="EndnoteText"/>
        <w:rPr>
          <w:rFonts w:cs="Arial"/>
        </w:rPr>
      </w:pPr>
      <w:r w:rsidRPr="00BE5552">
        <w:rPr>
          <w:rStyle w:val="EndnoteReference"/>
          <w:rFonts w:cs="Arial"/>
        </w:rPr>
        <w:endnoteRef/>
      </w:r>
      <w:r w:rsidRPr="00BE5552">
        <w:rPr>
          <w:rFonts w:cs="Arial"/>
        </w:rPr>
        <w:t xml:space="preserve"> Victoria Tauli Corpuz, Special Rapporteur, </w:t>
      </w:r>
      <w:r w:rsidRPr="00BE5552">
        <w:rPr>
          <w:rFonts w:cs="Arial"/>
          <w:i/>
        </w:rPr>
        <w:t>Report of the Special Rapporteur on the rights of indigenous peoples on her visit to Australia</w:t>
      </w:r>
      <w:r w:rsidRPr="00BE5552">
        <w:rPr>
          <w:rFonts w:cs="Arial"/>
        </w:rPr>
        <w:t>, report to the Human Rights Council, 36</w:t>
      </w:r>
      <w:r w:rsidRPr="00BE5552">
        <w:rPr>
          <w:rFonts w:cs="Arial"/>
          <w:vertAlign w:val="superscript"/>
        </w:rPr>
        <w:t>th</w:t>
      </w:r>
      <w:r w:rsidRPr="00BE5552">
        <w:rPr>
          <w:rFonts w:cs="Arial"/>
        </w:rPr>
        <w:t xml:space="preserve"> sess, agenda item 3, UN Doc A/HRC/36/46/Add.2 (8 August 2017) 15.</w:t>
      </w:r>
    </w:p>
  </w:endnote>
  <w:endnote w:id="62">
    <w:p w14:paraId="79886555" w14:textId="71E19A56" w:rsidR="00B60B7D" w:rsidRPr="00BE5552" w:rsidRDefault="00B60B7D" w:rsidP="00596579">
      <w:pPr>
        <w:spacing w:before="0" w:after="0"/>
        <w:rPr>
          <w:rFonts w:cs="Arial"/>
          <w:sz w:val="20"/>
          <w:szCs w:val="20"/>
        </w:rPr>
      </w:pPr>
      <w:r w:rsidRPr="00BE5552">
        <w:rPr>
          <w:rStyle w:val="EndnoteReference"/>
          <w:rFonts w:cs="Arial"/>
          <w:szCs w:val="20"/>
        </w:rPr>
        <w:endnoteRef/>
      </w:r>
      <w:r w:rsidRPr="00BE5552">
        <w:rPr>
          <w:rFonts w:cs="Arial"/>
          <w:sz w:val="20"/>
          <w:szCs w:val="20"/>
        </w:rPr>
        <w:t xml:space="preserve"> Human Rights and Equal Opportunity Commission, </w:t>
      </w:r>
      <w:r w:rsidRPr="00BE5552">
        <w:rPr>
          <w:rFonts w:cs="Arial"/>
          <w:i/>
          <w:sz w:val="20"/>
          <w:szCs w:val="20"/>
        </w:rPr>
        <w:t>Bringing them Home: Report of the National Inquiry into the Separation of Aboriginal and Torres Strait Islander Children from their Families</w:t>
      </w:r>
      <w:r w:rsidRPr="00BE5552">
        <w:rPr>
          <w:rFonts w:cs="Arial"/>
          <w:sz w:val="20"/>
          <w:szCs w:val="20"/>
        </w:rPr>
        <w:t xml:space="preserve"> (1997) recommendations 43 a,b,c. At </w:t>
      </w:r>
      <w:hyperlink r:id="rId21" w:history="1">
        <w:r w:rsidRPr="00BE5552">
          <w:rPr>
            <w:rStyle w:val="Hyperlink"/>
            <w:rFonts w:cs="Arial"/>
            <w:sz w:val="20"/>
            <w:szCs w:val="20"/>
          </w:rPr>
          <w:t>https://www.humanrights.gov.au/publications/bringing-them-home-appendix-9-recommendations</w:t>
        </w:r>
      </w:hyperlink>
      <w:r w:rsidRPr="00BE5552">
        <w:rPr>
          <w:rFonts w:cs="Arial"/>
          <w:sz w:val="20"/>
          <w:szCs w:val="20"/>
        </w:rPr>
        <w:t xml:space="preserve"> (viewed 30 May 2018).</w:t>
      </w:r>
    </w:p>
  </w:endnote>
  <w:endnote w:id="63">
    <w:p w14:paraId="02A9C7F4" w14:textId="77777777" w:rsidR="00B60B7D" w:rsidRPr="00BE5552" w:rsidRDefault="00B60B7D" w:rsidP="008E626B">
      <w:pPr>
        <w:pStyle w:val="EndnoteText"/>
        <w:rPr>
          <w:rFonts w:cs="Arial"/>
          <w:bCs/>
          <w:color w:val="222222"/>
          <w:shd w:val="clear" w:color="auto" w:fill="FFFFFF"/>
        </w:rPr>
      </w:pPr>
      <w:r w:rsidRPr="00BE5552">
        <w:rPr>
          <w:rStyle w:val="EndnoteReference"/>
          <w:rFonts w:cs="Arial"/>
        </w:rPr>
        <w:endnoteRef/>
      </w:r>
      <w:r w:rsidRPr="00BE5552">
        <w:rPr>
          <w:rFonts w:cs="Arial"/>
        </w:rPr>
        <w:t xml:space="preserve"> See Evidence to Senate Community Affairs References Committee, Parliament of Australia, Sydney, 18 February 2015, 1-6 (Megan Mitchell, National Children’s Commissioner); </w:t>
      </w:r>
      <w:r w:rsidRPr="00BE5552">
        <w:rPr>
          <w:rFonts w:cs="Arial"/>
          <w:bCs/>
          <w:i/>
          <w:shd w:val="clear" w:color="auto" w:fill="FFFFFF"/>
        </w:rPr>
        <w:t>Adoption and Safe Families Act of 1997</w:t>
      </w:r>
      <w:r w:rsidRPr="00BE5552">
        <w:rPr>
          <w:rFonts w:cs="Arial"/>
          <w:bCs/>
          <w:shd w:val="clear" w:color="auto" w:fill="FFFFFF"/>
        </w:rPr>
        <w:t xml:space="preserve">, Pub L No 105–89, 111 Stat 2115; Bryan Samuels, ‘Shifting Focus to Positive Outcomes in Child Protection’ (Presentation to </w:t>
      </w:r>
      <w:r w:rsidRPr="00BE5552">
        <w:rPr>
          <w:rStyle w:val="Strong"/>
          <w:rFonts w:cs="Arial"/>
          <w:b w:val="0"/>
        </w:rPr>
        <w:t xml:space="preserve">RightsTalk: President Barack Obama’s former Advisor on Children, Sydney, 19 September 2014). At </w:t>
      </w:r>
      <w:hyperlink r:id="rId22" w:history="1">
        <w:r w:rsidRPr="00BE5552">
          <w:rPr>
            <w:rStyle w:val="Hyperlink"/>
            <w:rFonts w:cs="Arial"/>
            <w:bCs/>
            <w:shd w:val="clear" w:color="auto" w:fill="FFFFFF"/>
          </w:rPr>
          <w:t>http://www.humanrights.gov.au/sites/default/files/PRC-Bryan%20Samuels%20Australian%20Presentation%20External.pdf?_ga=2.155297724.644736709.1527483423-1633014347.1519859779</w:t>
        </w:r>
      </w:hyperlink>
      <w:r w:rsidRPr="00BE5552">
        <w:rPr>
          <w:rFonts w:cs="Arial"/>
          <w:bCs/>
          <w:color w:val="222222"/>
          <w:shd w:val="clear" w:color="auto" w:fill="FFFFFF"/>
        </w:rPr>
        <w:t xml:space="preserve"> (viewed 28 May 2018).</w:t>
      </w:r>
    </w:p>
  </w:endnote>
  <w:endnote w:id="64">
    <w:p w14:paraId="23E07539" w14:textId="77777777" w:rsidR="00B60B7D" w:rsidRPr="00BE5552" w:rsidRDefault="00B60B7D" w:rsidP="00780B78">
      <w:pPr>
        <w:pStyle w:val="EndnoteText"/>
        <w:rPr>
          <w:rFonts w:cs="Arial"/>
        </w:rPr>
      </w:pPr>
      <w:r w:rsidRPr="00BE5552">
        <w:rPr>
          <w:rStyle w:val="EndnoteReference"/>
          <w:rFonts w:cs="Arial"/>
        </w:rPr>
        <w:endnoteRef/>
      </w:r>
      <w:r w:rsidRPr="00BE5552">
        <w:rPr>
          <w:rFonts w:cs="Arial"/>
        </w:rPr>
        <w:t xml:space="preserve"> See Evidence to Senate Community Affairs References Committee, Parliament of Australia, Sydney, 18 February 2015, 1-6 (Megan Mitchell, National Children’s Commissioner); </w:t>
      </w:r>
      <w:r w:rsidRPr="00BE5552">
        <w:rPr>
          <w:rFonts w:cs="Arial"/>
          <w:bCs/>
          <w:color w:val="222222"/>
          <w:shd w:val="clear" w:color="auto" w:fill="FFFFFF"/>
        </w:rPr>
        <w:t xml:space="preserve">Bryan Samuels, ‘Shifting Focus to Positive Outcomes in Child Protection’ (Presentation to </w:t>
      </w:r>
      <w:r w:rsidRPr="00BE5552">
        <w:rPr>
          <w:rStyle w:val="Strong"/>
          <w:rFonts w:cs="Arial"/>
          <w:b w:val="0"/>
        </w:rPr>
        <w:t xml:space="preserve">RightsTalk: President Barack Obama’s former Advisor on Children, Sydney, 19 September 2014). At </w:t>
      </w:r>
      <w:hyperlink r:id="rId23" w:history="1">
        <w:r w:rsidRPr="00BE5552">
          <w:rPr>
            <w:rStyle w:val="Hyperlink"/>
            <w:rFonts w:cs="Arial"/>
            <w:bCs/>
            <w:shd w:val="clear" w:color="auto" w:fill="FFFFFF"/>
          </w:rPr>
          <w:t>http://www.humanrights.gov.au/sites/default/files/PRC-Bryan%20Samuels%20Australian%20Presentation%20External.pdf?_ga=2.155297724.644736709.1527483423-1633014347.1519859779</w:t>
        </w:r>
      </w:hyperlink>
      <w:r w:rsidRPr="00BE5552">
        <w:rPr>
          <w:rFonts w:cs="Arial"/>
          <w:bCs/>
          <w:color w:val="222222"/>
          <w:shd w:val="clear" w:color="auto" w:fill="FFFFFF"/>
        </w:rPr>
        <w:t xml:space="preserve"> (viewed 28 May 2018).</w:t>
      </w:r>
    </w:p>
  </w:endnote>
  <w:endnote w:id="65">
    <w:p w14:paraId="2AC0CA09" w14:textId="69CE0C6E" w:rsidR="00B60B7D" w:rsidRPr="00BE5552" w:rsidRDefault="00B60B7D">
      <w:pPr>
        <w:pStyle w:val="EndnoteText"/>
        <w:rPr>
          <w:rFonts w:cs="Arial"/>
          <w:color w:val="0000FF"/>
          <w:u w:val="single"/>
        </w:rPr>
      </w:pPr>
      <w:r w:rsidRPr="00BE5552">
        <w:rPr>
          <w:rStyle w:val="EndnoteReference"/>
          <w:rFonts w:cs="Arial"/>
        </w:rPr>
        <w:endnoteRef/>
      </w:r>
      <w:r w:rsidRPr="00BE5552">
        <w:rPr>
          <w:rFonts w:cs="Arial"/>
        </w:rPr>
        <w:t xml:space="preserve"> Associa</w:t>
      </w:r>
      <w:r>
        <w:rPr>
          <w:rFonts w:cs="Arial"/>
        </w:rPr>
        <w:t>te Professor Amy Conley Wright and</w:t>
      </w:r>
      <w:r w:rsidRPr="00BE5552">
        <w:rPr>
          <w:rFonts w:cs="Arial"/>
        </w:rPr>
        <w:t xml:space="preserve"> Professor Judith Cashmore, Institute of Open Adoption Studies, University of Sydney, Submission to the NSW Government, </w:t>
      </w:r>
      <w:r w:rsidRPr="00BE5552">
        <w:rPr>
          <w:rFonts w:cs="Arial"/>
          <w:i/>
        </w:rPr>
        <w:t>Shaping a Better Child Protection System Discussion Paper – October 2017</w:t>
      </w:r>
      <w:r w:rsidRPr="00BE5552">
        <w:rPr>
          <w:rFonts w:cs="Arial"/>
        </w:rPr>
        <w:t>,</w:t>
      </w:r>
      <w:r w:rsidRPr="00BE5552">
        <w:rPr>
          <w:rFonts w:cs="Arial"/>
          <w:i/>
        </w:rPr>
        <w:t xml:space="preserve"> </w:t>
      </w:r>
      <w:r w:rsidRPr="00BE5552">
        <w:rPr>
          <w:rFonts w:cs="Arial"/>
        </w:rPr>
        <w:t xml:space="preserve">30 November 2017, 12. At </w:t>
      </w:r>
      <w:hyperlink r:id="rId24" w:history="1">
        <w:r w:rsidRPr="00BE5552">
          <w:rPr>
            <w:rStyle w:val="Hyperlink"/>
            <w:rFonts w:cs="Arial"/>
          </w:rPr>
          <w:t>http://sydney.edu.au/education_social_work/research/centres_and_networks/IOAS/resources/Publications/shape-better.pdf</w:t>
        </w:r>
      </w:hyperlink>
      <w:r w:rsidRPr="00BE5552">
        <w:rPr>
          <w:rStyle w:val="Hyperlink"/>
          <w:rFonts w:cs="Arial"/>
        </w:rPr>
        <w:t xml:space="preserve"> </w:t>
      </w:r>
      <w:r w:rsidRPr="00BE5552">
        <w:rPr>
          <w:rFonts w:cs="Arial"/>
          <w:lang w:val="en-US"/>
        </w:rPr>
        <w:t>(viewed 28 May 2018).</w:t>
      </w:r>
    </w:p>
  </w:endnote>
  <w:endnote w:id="66">
    <w:p w14:paraId="34189AC0" w14:textId="4BCABAB9" w:rsidR="00B60B7D" w:rsidRPr="00BE5552" w:rsidRDefault="00B60B7D" w:rsidP="00DB2D88">
      <w:pPr>
        <w:pStyle w:val="EndnoteText"/>
        <w:rPr>
          <w:rFonts w:cs="Arial"/>
        </w:rPr>
      </w:pPr>
      <w:r w:rsidRPr="00BE5552">
        <w:rPr>
          <w:rStyle w:val="EndnoteReference"/>
          <w:rFonts w:cs="Arial"/>
        </w:rPr>
        <w:endnoteRef/>
      </w:r>
      <w:r w:rsidRPr="00BE5552">
        <w:rPr>
          <w:rFonts w:cs="Arial"/>
        </w:rPr>
        <w:t xml:space="preserve"> Monica Campo and Joanne Commerford, Australian Institute of Family Studies, </w:t>
      </w:r>
      <w:r w:rsidRPr="00BE5552">
        <w:rPr>
          <w:rFonts w:cs="Arial"/>
          <w:i/>
        </w:rPr>
        <w:t>Supporting young people leaving out-of-home care</w:t>
      </w:r>
      <w:r w:rsidRPr="00BE5552">
        <w:rPr>
          <w:rFonts w:cs="Arial"/>
        </w:rPr>
        <w:t xml:space="preserve"> (2016) 11-12. At </w:t>
      </w:r>
      <w:hyperlink r:id="rId25" w:history="1">
        <w:r w:rsidRPr="00BE5552">
          <w:rPr>
            <w:rStyle w:val="Hyperlink"/>
            <w:rFonts w:cs="Arial"/>
          </w:rPr>
          <w:t>https://aifs.gov.au/cfca/sites/default/files/cfca41-leaving-care.pdf</w:t>
        </w:r>
      </w:hyperlink>
      <w:r w:rsidRPr="00BE5552">
        <w:rPr>
          <w:rFonts w:cs="Arial"/>
        </w:rPr>
        <w:t xml:space="preserve"> (viewed 10 May 2018).</w:t>
      </w:r>
    </w:p>
  </w:endnote>
  <w:endnote w:id="67">
    <w:p w14:paraId="2EF57C03" w14:textId="3B8034CA" w:rsidR="00B60B7D" w:rsidRPr="00BE5552" w:rsidRDefault="00B60B7D" w:rsidP="00DB2D88">
      <w:pPr>
        <w:pStyle w:val="EndnoteText"/>
        <w:rPr>
          <w:rFonts w:cs="Arial"/>
        </w:rPr>
      </w:pPr>
      <w:r w:rsidRPr="00BE5552">
        <w:rPr>
          <w:rStyle w:val="EndnoteReference"/>
          <w:rFonts w:cs="Arial"/>
        </w:rPr>
        <w:endnoteRef/>
      </w:r>
      <w:r w:rsidRPr="00BE5552">
        <w:rPr>
          <w:rFonts w:cs="Arial"/>
        </w:rPr>
        <w:t xml:space="preserve"> Monica Campo and Joanne Commerford, Australian Institute of Family Studies, </w:t>
      </w:r>
      <w:r w:rsidRPr="00BE5552">
        <w:rPr>
          <w:rFonts w:cs="Arial"/>
          <w:i/>
        </w:rPr>
        <w:t>Supporting young people leaving out-of-home care</w:t>
      </w:r>
      <w:r w:rsidRPr="00BE5552">
        <w:rPr>
          <w:rFonts w:cs="Arial"/>
        </w:rPr>
        <w:t xml:space="preserve"> (2016) 12. At </w:t>
      </w:r>
      <w:hyperlink r:id="rId26" w:history="1">
        <w:r w:rsidRPr="00BE5552">
          <w:rPr>
            <w:rStyle w:val="Hyperlink"/>
            <w:rFonts w:cs="Arial"/>
          </w:rPr>
          <w:t>https://aifs.gov.au/cfca/sites/default/files/cfca41-leaving-care.pdf</w:t>
        </w:r>
      </w:hyperlink>
      <w:r w:rsidRPr="00BE5552">
        <w:rPr>
          <w:rFonts w:cs="Arial"/>
        </w:rPr>
        <w:t xml:space="preserve"> (viewed 10 May 2018).</w:t>
      </w:r>
    </w:p>
  </w:endnote>
  <w:endnote w:id="68">
    <w:p w14:paraId="0D5F2AE2" w14:textId="11FE535C"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Fonts w:eastAsia="Times New Roman" w:cs="Arial"/>
        </w:rPr>
        <w:t xml:space="preserve">See, for example John Bowlby, </w:t>
      </w:r>
      <w:r w:rsidRPr="00BE5552">
        <w:rPr>
          <w:rFonts w:eastAsia="Times New Roman" w:cs="Arial"/>
          <w:i/>
          <w:lang w:val="en-US"/>
        </w:rPr>
        <w:t>Attachment and Loss: Volume 1 Attachment</w:t>
      </w:r>
      <w:r w:rsidRPr="00BE5552">
        <w:rPr>
          <w:rFonts w:eastAsia="Times New Roman" w:cs="Arial"/>
          <w:lang w:val="en-US"/>
        </w:rPr>
        <w:t xml:space="preserve"> </w:t>
      </w:r>
      <w:r w:rsidRPr="00BE5552">
        <w:rPr>
          <w:rFonts w:eastAsia="Times New Roman" w:cs="Arial"/>
        </w:rPr>
        <w:t>(Basic Books, New York, 2</w:t>
      </w:r>
      <w:r w:rsidRPr="00BE5552">
        <w:rPr>
          <w:rFonts w:eastAsia="Times New Roman" w:cs="Arial"/>
          <w:vertAlign w:val="superscript"/>
        </w:rPr>
        <w:t>nd</w:t>
      </w:r>
      <w:r w:rsidRPr="00BE5552">
        <w:rPr>
          <w:rFonts w:eastAsia="Times New Roman" w:cs="Arial"/>
        </w:rPr>
        <w:t xml:space="preserve"> ed, 1982); Mary D. Salter Ainsworth, </w:t>
      </w:r>
      <w:r>
        <w:rPr>
          <w:rFonts w:eastAsia="Times New Roman" w:cs="Arial"/>
        </w:rPr>
        <w:t>Mary C. Blehar, Everett Waters and</w:t>
      </w:r>
      <w:r w:rsidRPr="00BE5552">
        <w:rPr>
          <w:rFonts w:eastAsia="Times New Roman" w:cs="Arial"/>
        </w:rPr>
        <w:t xml:space="preserve"> Sally Wall, </w:t>
      </w:r>
      <w:r w:rsidRPr="00BE5552">
        <w:rPr>
          <w:rFonts w:eastAsia="Times New Roman" w:cs="Arial"/>
          <w:i/>
          <w:iCs/>
        </w:rPr>
        <w:t>Patterns of attachment: A psychological study of the strange situation</w:t>
      </w:r>
      <w:r w:rsidRPr="00BE5552">
        <w:rPr>
          <w:rFonts w:eastAsia="Times New Roman" w:cs="Arial"/>
        </w:rPr>
        <w:t xml:space="preserve"> (Lawrence Erlbaum Associates Inc., 1978).</w:t>
      </w:r>
    </w:p>
  </w:endnote>
  <w:endnote w:id="69">
    <w:p w14:paraId="28989FF8" w14:textId="126ADB5F" w:rsidR="00B60B7D" w:rsidRPr="00BE5552" w:rsidRDefault="00B60B7D" w:rsidP="00691100">
      <w:pPr>
        <w:pStyle w:val="EndnoteText"/>
        <w:rPr>
          <w:rFonts w:cs="Arial"/>
        </w:rPr>
      </w:pPr>
      <w:r w:rsidRPr="00BE5552">
        <w:rPr>
          <w:rStyle w:val="EndnoteReference"/>
          <w:rFonts w:cs="Arial"/>
        </w:rPr>
        <w:endnoteRef/>
      </w:r>
      <w:r w:rsidRPr="00BE5552">
        <w:rPr>
          <w:rFonts w:cs="Arial"/>
        </w:rPr>
        <w:t xml:space="preserve"> Michael </w:t>
      </w:r>
      <w:r w:rsidRPr="00BE5552">
        <w:rPr>
          <w:rFonts w:eastAsia="Times New Roman" w:cs="Arial"/>
          <w:lang w:val="en-US" w:eastAsia="en-US"/>
        </w:rPr>
        <w:t xml:space="preserve">Lamb, ‘A wasted opportunity to engage with the literature on the implications of attachment research for family court professionals’ (2012) 50(3) </w:t>
      </w:r>
      <w:r w:rsidRPr="00BE5552">
        <w:rPr>
          <w:rFonts w:eastAsia="Times New Roman" w:cs="Arial"/>
          <w:i/>
          <w:iCs/>
          <w:lang w:val="en-US" w:eastAsia="en-US"/>
        </w:rPr>
        <w:t>Family Court Review</w:t>
      </w:r>
      <w:r w:rsidRPr="00BE5552">
        <w:rPr>
          <w:rFonts w:eastAsia="Times New Roman" w:cs="Arial"/>
          <w:lang w:val="en-US" w:eastAsia="en-US"/>
        </w:rPr>
        <w:t xml:space="preserve"> 481-485; Australian Institute of Family Studies, </w:t>
      </w:r>
      <w:r w:rsidRPr="00BE5552">
        <w:rPr>
          <w:rFonts w:eastAsia="Times New Roman" w:cs="Arial"/>
          <w:i/>
          <w:lang w:val="en-US" w:eastAsia="en-US"/>
        </w:rPr>
        <w:t>Children’s attachment needs in the context of out-of-home care</w:t>
      </w:r>
      <w:r w:rsidRPr="00BE5552">
        <w:rPr>
          <w:rFonts w:eastAsia="Times New Roman" w:cs="Arial"/>
          <w:lang w:val="en-US" w:eastAsia="en-US"/>
        </w:rPr>
        <w:t xml:space="preserve"> (2016) CFCA Practitioner Resource. At </w:t>
      </w:r>
      <w:hyperlink r:id="rId27" w:history="1">
        <w:r w:rsidRPr="00BE5552">
          <w:rPr>
            <w:rStyle w:val="Hyperlink"/>
            <w:rFonts w:eastAsia="Times New Roman" w:cs="Arial"/>
            <w:lang w:val="en-US" w:eastAsia="en-US"/>
          </w:rPr>
          <w:t>https://aifs.gov.au/cfca/publications/childrens-attachment-needs-context-out-home-care</w:t>
        </w:r>
      </w:hyperlink>
      <w:r w:rsidRPr="00BE5552">
        <w:rPr>
          <w:rFonts w:eastAsia="Times New Roman" w:cs="Arial"/>
          <w:lang w:val="en-US" w:eastAsia="en-US"/>
        </w:rPr>
        <w:t xml:space="preserve"> (viewed 20 May 2018).</w:t>
      </w:r>
    </w:p>
  </w:endnote>
  <w:endnote w:id="70">
    <w:p w14:paraId="023DA6B8" w14:textId="1E93FDC9" w:rsidR="00B60B7D" w:rsidRPr="00BE5552" w:rsidRDefault="00B60B7D" w:rsidP="00EC6D0C">
      <w:pPr>
        <w:widowControl w:val="0"/>
        <w:tabs>
          <w:tab w:val="left" w:pos="220"/>
          <w:tab w:val="left" w:pos="720"/>
        </w:tabs>
        <w:autoSpaceDE w:val="0"/>
        <w:autoSpaceDN w:val="0"/>
        <w:adjustRightInd w:val="0"/>
        <w:spacing w:before="0" w:after="0"/>
        <w:rPr>
          <w:rFonts w:eastAsia="Times New Roman" w:cs="Arial"/>
          <w:sz w:val="20"/>
          <w:szCs w:val="20"/>
          <w:lang w:val="en-US"/>
        </w:rPr>
      </w:pPr>
      <w:r w:rsidRPr="00BE5552">
        <w:rPr>
          <w:rStyle w:val="EndnoteReference"/>
          <w:rFonts w:cs="Arial"/>
          <w:szCs w:val="20"/>
        </w:rPr>
        <w:endnoteRef/>
      </w:r>
      <w:r w:rsidRPr="00BE5552">
        <w:rPr>
          <w:rFonts w:cs="Arial"/>
          <w:sz w:val="20"/>
          <w:szCs w:val="20"/>
        </w:rPr>
        <w:t xml:space="preserve"> </w:t>
      </w:r>
      <w:r w:rsidRPr="00BE5552">
        <w:rPr>
          <w:rFonts w:eastAsia="Times New Roman" w:cs="Arial"/>
          <w:sz w:val="20"/>
          <w:szCs w:val="20"/>
          <w:lang w:val="en-US"/>
        </w:rPr>
        <w:t xml:space="preserve">Leah Bromfield and Alexandra Osborn, </w:t>
      </w:r>
      <w:r w:rsidRPr="00BE5552">
        <w:rPr>
          <w:rFonts w:eastAsia="Times New Roman" w:cs="Arial"/>
          <w:i/>
          <w:iCs/>
          <w:sz w:val="20"/>
          <w:szCs w:val="20"/>
          <w:lang w:val="en-US"/>
        </w:rPr>
        <w:t>Getting the big picture: A synopsis</w:t>
      </w:r>
      <w:r w:rsidRPr="00BE5552">
        <w:rPr>
          <w:rFonts w:ascii="MS Gothic" w:eastAsia="MS Gothic" w:hAnsi="MS Gothic" w:cs="MS Gothic" w:hint="eastAsia"/>
          <w:i/>
          <w:iCs/>
          <w:sz w:val="20"/>
          <w:szCs w:val="20"/>
          <w:lang w:val="en-US"/>
        </w:rPr>
        <w:t> </w:t>
      </w:r>
      <w:r w:rsidRPr="00BE5552">
        <w:rPr>
          <w:rFonts w:eastAsia="Times New Roman" w:cs="Arial"/>
          <w:i/>
          <w:iCs/>
          <w:sz w:val="20"/>
          <w:szCs w:val="20"/>
          <w:lang w:val="en-US"/>
        </w:rPr>
        <w:t>and critique of Australian out-of-home care research</w:t>
      </w:r>
      <w:r w:rsidRPr="00BE5552">
        <w:rPr>
          <w:rFonts w:eastAsia="Times New Roman" w:cs="Arial"/>
          <w:sz w:val="20"/>
          <w:szCs w:val="20"/>
          <w:lang w:val="en-US"/>
        </w:rPr>
        <w:t xml:space="preserve"> (2007) NCPC Issues No. 26, October 2007, </w:t>
      </w:r>
      <w:r w:rsidRPr="00BE5552">
        <w:rPr>
          <w:rFonts w:eastAsia="MS Gothic" w:cs="Arial"/>
          <w:sz w:val="20"/>
          <w:szCs w:val="20"/>
          <w:lang w:val="en-US"/>
        </w:rPr>
        <w:t xml:space="preserve">[7.3.1]. At </w:t>
      </w:r>
      <w:hyperlink r:id="rId28" w:history="1">
        <w:r w:rsidRPr="00BE5552">
          <w:rPr>
            <w:rStyle w:val="Hyperlink"/>
            <w:rFonts w:eastAsia="MS Gothic" w:cs="Arial"/>
            <w:sz w:val="20"/>
            <w:szCs w:val="20"/>
            <w:lang w:val="en-US"/>
          </w:rPr>
          <w:t>https://aifs.gov.au/cfca/publications/getting-big-picture-synopsis-and-critique-austra</w:t>
        </w:r>
      </w:hyperlink>
      <w:r w:rsidRPr="00BE5552">
        <w:rPr>
          <w:rFonts w:eastAsia="MS Gothic" w:cs="Arial"/>
          <w:sz w:val="20"/>
          <w:szCs w:val="20"/>
          <w:lang w:val="en-US"/>
        </w:rPr>
        <w:t xml:space="preserve"> (viewed 20 May 2018).</w:t>
      </w:r>
    </w:p>
  </w:endnote>
  <w:endnote w:id="71">
    <w:p w14:paraId="1231881C" w14:textId="08C4E864" w:rsidR="00B60B7D" w:rsidRPr="00BE5552" w:rsidRDefault="00B60B7D" w:rsidP="00EC6D0C">
      <w:pPr>
        <w:widowControl w:val="0"/>
        <w:autoSpaceDE w:val="0"/>
        <w:autoSpaceDN w:val="0"/>
        <w:adjustRightInd w:val="0"/>
        <w:spacing w:before="0" w:after="0"/>
        <w:rPr>
          <w:rFonts w:eastAsia="Times New Roman" w:cs="Arial"/>
          <w:sz w:val="20"/>
          <w:szCs w:val="20"/>
          <w:lang w:val="en-US"/>
        </w:rPr>
      </w:pPr>
      <w:r w:rsidRPr="00BE5552">
        <w:rPr>
          <w:rStyle w:val="EndnoteReference"/>
          <w:rFonts w:cs="Arial"/>
          <w:szCs w:val="20"/>
        </w:rPr>
        <w:endnoteRef/>
      </w:r>
      <w:r w:rsidRPr="00BE5552">
        <w:rPr>
          <w:rFonts w:cs="Arial"/>
          <w:sz w:val="20"/>
          <w:szCs w:val="20"/>
        </w:rPr>
        <w:t xml:space="preserve"> Soo See </w:t>
      </w:r>
      <w:r w:rsidRPr="00BE5552">
        <w:rPr>
          <w:rFonts w:eastAsia="Times New Roman" w:cs="Arial"/>
          <w:sz w:val="20"/>
          <w:szCs w:val="20"/>
          <w:lang w:val="en-US"/>
        </w:rPr>
        <w:t>Yeo, ‘</w:t>
      </w:r>
      <w:r w:rsidRPr="00BE5552">
        <w:rPr>
          <w:rFonts w:eastAsia="Times New Roman" w:cs="Arial"/>
          <w:iCs/>
          <w:sz w:val="20"/>
          <w:szCs w:val="20"/>
          <w:lang w:val="en-US"/>
        </w:rPr>
        <w:t>Bonding and Attachment of Australian Aboriginal Children’</w:t>
      </w:r>
      <w:r w:rsidRPr="00BE5552">
        <w:rPr>
          <w:rFonts w:eastAsia="Times New Roman" w:cs="Arial"/>
          <w:i/>
          <w:iCs/>
          <w:sz w:val="20"/>
          <w:szCs w:val="20"/>
          <w:lang w:val="en-US"/>
        </w:rPr>
        <w:t xml:space="preserve"> </w:t>
      </w:r>
      <w:r w:rsidRPr="00BE5552">
        <w:rPr>
          <w:rFonts w:eastAsia="Times New Roman" w:cs="Arial"/>
          <w:sz w:val="20"/>
          <w:szCs w:val="20"/>
          <w:lang w:val="en-US"/>
        </w:rPr>
        <w:t xml:space="preserve">(2003) 12 </w:t>
      </w:r>
      <w:r w:rsidRPr="00BE5552">
        <w:rPr>
          <w:rFonts w:eastAsia="Times New Roman" w:cs="Arial"/>
          <w:i/>
          <w:sz w:val="20"/>
          <w:szCs w:val="20"/>
          <w:lang w:val="en-US"/>
        </w:rPr>
        <w:t>Child Abuse Review</w:t>
      </w:r>
      <w:r w:rsidRPr="00BE5552">
        <w:rPr>
          <w:rFonts w:eastAsia="Times New Roman" w:cs="Arial"/>
          <w:sz w:val="20"/>
          <w:szCs w:val="20"/>
          <w:lang w:val="en-US"/>
        </w:rPr>
        <w:t xml:space="preserve"> 293; Secretariat of National Aboriginal</w:t>
      </w:r>
      <w:r w:rsidRPr="00BE5552">
        <w:rPr>
          <w:rFonts w:eastAsia="MS Gothic" w:cs="Arial"/>
          <w:sz w:val="20"/>
          <w:szCs w:val="20"/>
          <w:lang w:val="en-US"/>
        </w:rPr>
        <w:t xml:space="preserve"> and</w:t>
      </w:r>
      <w:r w:rsidRPr="00BE5552">
        <w:rPr>
          <w:rFonts w:eastAsia="Times New Roman" w:cs="Arial"/>
          <w:sz w:val="20"/>
          <w:szCs w:val="20"/>
          <w:lang w:val="en-US"/>
        </w:rPr>
        <w:t xml:space="preserve"> Islander Child Care Inc, </w:t>
      </w:r>
      <w:r w:rsidRPr="00BE5552">
        <w:rPr>
          <w:rFonts w:eastAsia="Times New Roman" w:cs="Arial"/>
          <w:i/>
          <w:sz w:val="20"/>
          <w:szCs w:val="20"/>
          <w:lang w:val="en-US"/>
        </w:rPr>
        <w:t xml:space="preserve">Achieving </w:t>
      </w:r>
      <w:r w:rsidRPr="00BE5552">
        <w:rPr>
          <w:rFonts w:eastAsia="Times New Roman" w:cs="Arial"/>
          <w:i/>
          <w:iCs/>
          <w:sz w:val="20"/>
          <w:szCs w:val="20"/>
          <w:lang w:val="en-US"/>
        </w:rPr>
        <w:t>Stable and Culturally Strong Out-of-Home Care for Aboriginal and Torres Strait Islander Children</w:t>
      </w:r>
      <w:r w:rsidRPr="00BE5552">
        <w:rPr>
          <w:rFonts w:eastAsia="Times New Roman" w:cs="Arial"/>
          <w:sz w:val="20"/>
          <w:szCs w:val="20"/>
          <w:lang w:val="en-US"/>
        </w:rPr>
        <w:t xml:space="preserve"> (2005) 18. At </w:t>
      </w:r>
      <w:hyperlink r:id="rId29" w:history="1">
        <w:r w:rsidRPr="00BE5552">
          <w:rPr>
            <w:rStyle w:val="Hyperlink"/>
            <w:rFonts w:eastAsia="Times New Roman" w:cs="Arial"/>
            <w:sz w:val="20"/>
            <w:szCs w:val="20"/>
            <w:lang w:val="en-US"/>
          </w:rPr>
          <w:t>http://www.snaicc.org.au/wp-content/uploads/2015/12/01800.pdf</w:t>
        </w:r>
      </w:hyperlink>
      <w:r w:rsidRPr="00BE5552">
        <w:rPr>
          <w:rFonts w:eastAsia="Times New Roman" w:cs="Arial"/>
          <w:sz w:val="20"/>
          <w:szCs w:val="20"/>
          <w:lang w:val="en-US"/>
        </w:rPr>
        <w:t xml:space="preserve"> (viewed 20 May 2018).</w:t>
      </w:r>
    </w:p>
  </w:endnote>
  <w:endnote w:id="72">
    <w:p w14:paraId="12CD1E9B" w14:textId="169218F7" w:rsidR="00B60B7D" w:rsidRPr="00BE5552" w:rsidRDefault="00B60B7D" w:rsidP="00EC6D0C">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 xml:space="preserve">General Comment No. 11 (2009): Indigenous children and their rights under the Convention, </w:t>
      </w:r>
      <w:r w:rsidRPr="00BE5552">
        <w:rPr>
          <w:rFonts w:cs="Arial"/>
        </w:rPr>
        <w:t>50</w:t>
      </w:r>
      <w:r w:rsidRPr="00BE5552">
        <w:rPr>
          <w:rFonts w:cs="Arial"/>
          <w:vertAlign w:val="superscript"/>
        </w:rPr>
        <w:t>th</w:t>
      </w:r>
      <w:r w:rsidRPr="00BE5552">
        <w:rPr>
          <w:rFonts w:cs="Arial"/>
        </w:rPr>
        <w:t xml:space="preserve"> sess, UN Doc CRC/C/GC/11 (12 February 2009) [31].</w:t>
      </w:r>
    </w:p>
  </w:endnote>
  <w:endnote w:id="73">
    <w:p w14:paraId="113F548C" w14:textId="64575888" w:rsidR="00B60B7D" w:rsidRPr="00BE5552" w:rsidRDefault="00B60B7D" w:rsidP="00F23B2F">
      <w:pPr>
        <w:spacing w:before="0" w:after="0"/>
        <w:rPr>
          <w:rFonts w:eastAsia="Times New Roman" w:cs="Arial"/>
          <w:sz w:val="20"/>
          <w:szCs w:val="20"/>
          <w:lang w:val="en-US" w:eastAsia="en-US"/>
        </w:rPr>
      </w:pPr>
      <w:r w:rsidRPr="00BE5552">
        <w:rPr>
          <w:rStyle w:val="EndnoteReference"/>
          <w:rFonts w:cs="Arial"/>
          <w:szCs w:val="20"/>
        </w:rPr>
        <w:endnoteRef/>
      </w:r>
      <w:r w:rsidRPr="00BE5552">
        <w:rPr>
          <w:rFonts w:cs="Arial"/>
          <w:sz w:val="20"/>
          <w:szCs w:val="20"/>
        </w:rPr>
        <w:t xml:space="preserve"> Robert L</w:t>
      </w:r>
      <w:r w:rsidRPr="00BE5552">
        <w:rPr>
          <w:rFonts w:eastAsia="Times New Roman" w:cs="Arial"/>
          <w:sz w:val="20"/>
          <w:szCs w:val="20"/>
          <w:lang w:val="en-US"/>
        </w:rPr>
        <w:t xml:space="preserve">eVine and Patrice Miller, ‘Strange situations in other cultures: An anthropological view of infant-mother attachment’ (1990) 33 </w:t>
      </w:r>
      <w:r w:rsidRPr="00BE5552">
        <w:rPr>
          <w:rFonts w:eastAsia="Times New Roman" w:cs="Arial"/>
          <w:i/>
          <w:sz w:val="20"/>
          <w:szCs w:val="20"/>
          <w:lang w:val="en-US"/>
        </w:rPr>
        <w:t>Human Development</w:t>
      </w:r>
      <w:r w:rsidRPr="00BE5552">
        <w:rPr>
          <w:rFonts w:eastAsia="Times New Roman" w:cs="Arial"/>
          <w:sz w:val="20"/>
          <w:szCs w:val="20"/>
          <w:lang w:val="en-US"/>
        </w:rPr>
        <w:t xml:space="preserve"> 73-80</w:t>
      </w:r>
      <w:r w:rsidRPr="00BE5552">
        <w:rPr>
          <w:rFonts w:cs="Arial"/>
          <w:sz w:val="20"/>
          <w:szCs w:val="20"/>
          <w:shd w:val="clear" w:color="auto" w:fill="FFFFFF"/>
        </w:rPr>
        <w:t xml:space="preserve">; Carollee </w:t>
      </w:r>
      <w:r w:rsidRPr="00BE5552">
        <w:rPr>
          <w:rFonts w:eastAsia="Times New Roman" w:cs="Arial"/>
          <w:sz w:val="20"/>
          <w:szCs w:val="20"/>
          <w:shd w:val="clear" w:color="auto" w:fill="FFFFFF"/>
          <w:lang w:val="en-US" w:eastAsia="en-US"/>
        </w:rPr>
        <w:t xml:space="preserve">Howes and Susan Spieker ‘Attachment relationships in the context of multiple caregivers’ in Jude Cassidy and Phillip Shaver (eds), </w:t>
      </w:r>
      <w:r w:rsidRPr="00BE5552">
        <w:rPr>
          <w:rFonts w:eastAsia="Times New Roman" w:cs="Arial"/>
          <w:i/>
          <w:iCs/>
          <w:sz w:val="20"/>
          <w:szCs w:val="20"/>
          <w:lang w:val="en-US" w:eastAsia="en-US"/>
        </w:rPr>
        <w:t>Handbook of attachment: Theory, research and clinical applications</w:t>
      </w:r>
      <w:r w:rsidRPr="00BE5552">
        <w:rPr>
          <w:rFonts w:eastAsia="Times New Roman" w:cs="Arial"/>
          <w:sz w:val="20"/>
          <w:szCs w:val="20"/>
          <w:shd w:val="clear" w:color="auto" w:fill="FFFFFF"/>
          <w:lang w:val="en-US" w:eastAsia="en-US"/>
        </w:rPr>
        <w:t> (Guildford Press, 2nd edition, 2008) 317-332</w:t>
      </w:r>
      <w:r w:rsidRPr="00BE5552">
        <w:rPr>
          <w:rFonts w:eastAsia="Times New Roman" w:cs="Arial"/>
          <w:sz w:val="20"/>
          <w:szCs w:val="20"/>
          <w:lang w:val="en-US" w:eastAsia="en-US"/>
        </w:rPr>
        <w:t>.</w:t>
      </w:r>
    </w:p>
  </w:endnote>
  <w:endnote w:id="74">
    <w:p w14:paraId="6AB8DA32" w14:textId="76708B4C" w:rsidR="00B60B7D" w:rsidRPr="00BE5552" w:rsidRDefault="00B60B7D" w:rsidP="00F23B2F">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7: Implementing child rights in early childhood</w:t>
      </w:r>
      <w:r w:rsidRPr="00BE5552">
        <w:rPr>
          <w:rFonts w:cs="Arial"/>
        </w:rPr>
        <w:t>, 40</w:t>
      </w:r>
      <w:r w:rsidRPr="00BE5552">
        <w:rPr>
          <w:rFonts w:cs="Arial"/>
          <w:vertAlign w:val="superscript"/>
        </w:rPr>
        <w:t>th</w:t>
      </w:r>
      <w:r w:rsidRPr="00BE5552">
        <w:rPr>
          <w:rFonts w:cs="Arial"/>
        </w:rPr>
        <w:t xml:space="preserve"> sess, UN Doc CRC/C/GC/7/Rev.1 (20 September 2006) [36(b)].</w:t>
      </w:r>
    </w:p>
  </w:endnote>
  <w:endnote w:id="75">
    <w:p w14:paraId="049236ED" w14:textId="01D10282" w:rsidR="00B60B7D" w:rsidRPr="00BE5552" w:rsidRDefault="00B60B7D" w:rsidP="00DB2D88">
      <w:pPr>
        <w:pStyle w:val="EndnoteText"/>
        <w:rPr>
          <w:rFonts w:cs="Arial"/>
        </w:rPr>
      </w:pPr>
      <w:r w:rsidRPr="00BE5552">
        <w:rPr>
          <w:rStyle w:val="EndnoteReference"/>
          <w:rFonts w:cs="Arial"/>
        </w:rPr>
        <w:endnoteRef/>
      </w:r>
      <w:r w:rsidRPr="00BE5552">
        <w:rPr>
          <w:rFonts w:cs="Arial"/>
        </w:rPr>
        <w:t xml:space="preserve"> Committee on the Rights of the Child, </w:t>
      </w:r>
      <w:r w:rsidRPr="00BE5552">
        <w:rPr>
          <w:rFonts w:cs="Arial"/>
          <w:i/>
        </w:rPr>
        <w:t>General Comment No. 14 (2013) on the right of the child to have his or her best interests taken as a primary consideration</w:t>
      </w:r>
      <w:r w:rsidRPr="00BE5552">
        <w:rPr>
          <w:rFonts w:cs="Arial"/>
        </w:rPr>
        <w:t>, 62</w:t>
      </w:r>
      <w:r w:rsidRPr="00BE5552">
        <w:rPr>
          <w:rFonts w:cs="Arial"/>
          <w:vertAlign w:val="superscript"/>
        </w:rPr>
        <w:t>nd</w:t>
      </w:r>
      <w:r w:rsidRPr="00BE5552">
        <w:rPr>
          <w:rFonts w:cs="Arial"/>
        </w:rPr>
        <w:t xml:space="preserve"> sess, UN Doc CRC/C/GC/14 (29 May 2013)</w:t>
      </w:r>
      <w:r w:rsidRPr="00BE5552">
        <w:rPr>
          <w:rFonts w:cs="Arial"/>
          <w:i/>
        </w:rPr>
        <w:t xml:space="preserve"> </w:t>
      </w:r>
      <w:r w:rsidRPr="00BE5552">
        <w:rPr>
          <w:rFonts w:cs="Arial"/>
        </w:rPr>
        <w:t>[71]-[72].</w:t>
      </w:r>
    </w:p>
  </w:endnote>
  <w:endnote w:id="76">
    <w:p w14:paraId="3F83E2BD" w14:textId="6BD582B3" w:rsidR="00B60B7D" w:rsidRPr="00BE5552" w:rsidRDefault="00B60B7D" w:rsidP="00A51242">
      <w:pPr>
        <w:pStyle w:val="EndnoteText"/>
        <w:rPr>
          <w:rFonts w:cs="Arial"/>
        </w:rPr>
      </w:pPr>
      <w:r w:rsidRPr="00BE5552">
        <w:rPr>
          <w:rStyle w:val="EndnoteReference"/>
          <w:rFonts w:cs="Arial"/>
        </w:rPr>
        <w:endnoteRef/>
      </w:r>
      <w:r w:rsidRPr="00BE5552">
        <w:rPr>
          <w:rFonts w:cs="Arial"/>
        </w:rPr>
        <w:t xml:space="preserve"> Monica Campo and Joanne Commerford, Australian Institute of Family Studies, </w:t>
      </w:r>
      <w:r w:rsidRPr="00BE5552">
        <w:rPr>
          <w:rFonts w:cs="Arial"/>
          <w:i/>
        </w:rPr>
        <w:t>Supporting young people leaving out-of-home care</w:t>
      </w:r>
      <w:r w:rsidRPr="00BE5552">
        <w:rPr>
          <w:rFonts w:cs="Arial"/>
        </w:rPr>
        <w:t xml:space="preserve"> (2016) 12. At </w:t>
      </w:r>
      <w:hyperlink r:id="rId30" w:history="1">
        <w:r w:rsidRPr="00BE5552">
          <w:rPr>
            <w:rStyle w:val="Hyperlink"/>
            <w:rFonts w:cs="Arial"/>
          </w:rPr>
          <w:t>https://aifs.gov.au/cfca/sites/default/files/cfca41-leaving-care.pdf</w:t>
        </w:r>
      </w:hyperlink>
      <w:r w:rsidRPr="00BE5552">
        <w:rPr>
          <w:rFonts w:cs="Arial"/>
        </w:rPr>
        <w:t xml:space="preserve"> (viewed 10 May 2018).</w:t>
      </w:r>
    </w:p>
  </w:endnote>
  <w:endnote w:id="77">
    <w:p w14:paraId="41E10A9B" w14:textId="04504994" w:rsidR="00B60B7D" w:rsidRPr="00BE5552" w:rsidRDefault="00B60B7D" w:rsidP="00511DFD">
      <w:pPr>
        <w:pStyle w:val="EndnoteText"/>
        <w:rPr>
          <w:rFonts w:cs="Arial"/>
        </w:rPr>
      </w:pPr>
      <w:r w:rsidRPr="00BE5552">
        <w:rPr>
          <w:rStyle w:val="EndnoteReference"/>
          <w:rFonts w:cs="Arial"/>
        </w:rPr>
        <w:endnoteRef/>
      </w:r>
      <w:r w:rsidRPr="00BE5552">
        <w:rPr>
          <w:rFonts w:cs="Arial"/>
        </w:rPr>
        <w:t xml:space="preserve"> Monica Campo and Joanne Commerford, Australian Institute of Family Studies, </w:t>
      </w:r>
      <w:r w:rsidRPr="00BE5552">
        <w:rPr>
          <w:rFonts w:cs="Arial"/>
          <w:i/>
        </w:rPr>
        <w:t>Supporting young people leaving out-of-home care</w:t>
      </w:r>
      <w:r w:rsidRPr="00BE5552">
        <w:rPr>
          <w:rFonts w:cs="Arial"/>
        </w:rPr>
        <w:t xml:space="preserve"> (2016) 12, 18. At </w:t>
      </w:r>
      <w:hyperlink r:id="rId31" w:history="1">
        <w:r w:rsidRPr="00BE5552">
          <w:rPr>
            <w:rStyle w:val="Hyperlink"/>
            <w:rFonts w:cs="Arial"/>
          </w:rPr>
          <w:t>https://aifs.gov.au/cfca/sites/default/files/cfca41-leaving-care.pdf</w:t>
        </w:r>
      </w:hyperlink>
      <w:r w:rsidRPr="00BE5552">
        <w:rPr>
          <w:rFonts w:cs="Arial"/>
        </w:rPr>
        <w:t xml:space="preserve"> (viewed 10 May 2018).</w:t>
      </w:r>
    </w:p>
  </w:endnote>
  <w:endnote w:id="78">
    <w:p w14:paraId="75D1A1B4" w14:textId="717527F6" w:rsidR="00B60B7D" w:rsidRPr="00BE5552" w:rsidRDefault="00B60B7D" w:rsidP="00DB2D88">
      <w:pPr>
        <w:pStyle w:val="EndnoteText"/>
        <w:rPr>
          <w:rFonts w:cs="Arial"/>
        </w:rPr>
      </w:pPr>
      <w:r w:rsidRPr="00BE5552">
        <w:rPr>
          <w:rStyle w:val="EndnoteReference"/>
          <w:rFonts w:cs="Arial"/>
        </w:rPr>
        <w:endnoteRef/>
      </w:r>
      <w:r w:rsidRPr="00BE5552">
        <w:rPr>
          <w:rFonts w:cs="Arial"/>
        </w:rPr>
        <w:t xml:space="preserve"> Monica Campo and Joanne Commerford, Australian Institute of Family Studies, </w:t>
      </w:r>
      <w:r w:rsidRPr="00BE5552">
        <w:rPr>
          <w:rFonts w:cs="Arial"/>
          <w:i/>
        </w:rPr>
        <w:t>Supporting young people leaving out-of-home care</w:t>
      </w:r>
      <w:r w:rsidRPr="00BE5552">
        <w:rPr>
          <w:rFonts w:cs="Arial"/>
        </w:rPr>
        <w:t xml:space="preserve"> (2016) 10-12. At </w:t>
      </w:r>
      <w:hyperlink r:id="rId32" w:history="1">
        <w:r w:rsidRPr="00BE5552">
          <w:rPr>
            <w:rStyle w:val="Hyperlink"/>
            <w:rFonts w:cs="Arial"/>
          </w:rPr>
          <w:t>https://aifs.gov.au/cfca/sites/default/files/cfca41-leaving-care.pdf</w:t>
        </w:r>
      </w:hyperlink>
      <w:r w:rsidRPr="00BE5552">
        <w:rPr>
          <w:rFonts w:cs="Arial"/>
        </w:rPr>
        <w:t xml:space="preserve"> (viewed 10 May 2018).</w:t>
      </w:r>
    </w:p>
  </w:endnote>
  <w:endnote w:id="79">
    <w:p w14:paraId="06355CD2" w14:textId="1A2EDD03" w:rsidR="00B60B7D" w:rsidRPr="00BE5552" w:rsidRDefault="00B60B7D" w:rsidP="00DB2D88">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 xml:space="preserve">Protecting Children is Everyone’s Business – National Framework for Protecting Australia’s Children 2009-2020 </w:t>
      </w:r>
      <w:r w:rsidRPr="00BE5552">
        <w:rPr>
          <w:rFonts w:cs="Arial"/>
        </w:rPr>
        <w:t xml:space="preserve">(2009). At </w:t>
      </w:r>
      <w:hyperlink r:id="rId33" w:history="1">
        <w:r w:rsidRPr="00BE5552">
          <w:rPr>
            <w:rStyle w:val="Hyperlink"/>
            <w:rFonts w:cs="Arial"/>
          </w:rPr>
          <w:t>https://www.dss.gov.au/sites/default/files/documents/child_protection_framework.pdf</w:t>
        </w:r>
      </w:hyperlink>
      <w:r w:rsidRPr="00BE5552">
        <w:rPr>
          <w:rFonts w:cs="Arial"/>
        </w:rPr>
        <w:t xml:space="preserve"> (viewed 30 April 2017).</w:t>
      </w:r>
    </w:p>
  </w:endnote>
  <w:endnote w:id="80">
    <w:p w14:paraId="63A0C3FB" w14:textId="0BE8CA65" w:rsidR="00B60B7D" w:rsidRPr="00BE5552" w:rsidRDefault="00B60B7D" w:rsidP="0039653E">
      <w:pPr>
        <w:pStyle w:val="EndnoteText"/>
        <w:rPr>
          <w:rFonts w:cs="Arial"/>
        </w:rPr>
      </w:pPr>
      <w:r w:rsidRPr="00BE5552">
        <w:rPr>
          <w:rStyle w:val="EndnoteReference"/>
          <w:rFonts w:cs="Arial"/>
        </w:rPr>
        <w:endnoteRef/>
      </w:r>
      <w:r w:rsidRPr="00BE5552">
        <w:rPr>
          <w:rFonts w:cs="Arial"/>
        </w:rPr>
        <w:t xml:space="preserve"> Australian Government, </w:t>
      </w:r>
      <w:r w:rsidRPr="00BE5552">
        <w:rPr>
          <w:rFonts w:cs="Arial"/>
          <w:i/>
        </w:rPr>
        <w:t xml:space="preserve">Protecting Children is Everyone’s Business – National Framework for Protecting Australia’s Children 2009-2020 </w:t>
      </w:r>
      <w:r w:rsidRPr="00BE5552">
        <w:rPr>
          <w:rFonts w:cs="Arial"/>
        </w:rPr>
        <w:t xml:space="preserve">(2009) 25. At </w:t>
      </w:r>
      <w:hyperlink r:id="rId34" w:history="1">
        <w:r w:rsidRPr="00BE5552">
          <w:rPr>
            <w:rStyle w:val="Hyperlink"/>
            <w:rFonts w:cs="Arial"/>
          </w:rPr>
          <w:t>https://www.dss.gov.au/sites/default/files/documents/child_protection_framework.pdf</w:t>
        </w:r>
      </w:hyperlink>
      <w:r w:rsidRPr="00BE5552">
        <w:rPr>
          <w:rFonts w:cs="Arial"/>
        </w:rPr>
        <w:t xml:space="preserve"> (viewed 30 April 2017).</w:t>
      </w:r>
    </w:p>
  </w:endnote>
  <w:endnote w:id="81">
    <w:p w14:paraId="2F3D99E8" w14:textId="05E03EE9" w:rsidR="00B60B7D" w:rsidRPr="00BE5552" w:rsidRDefault="00B60B7D" w:rsidP="002C3258">
      <w:pPr>
        <w:pStyle w:val="EndnoteText"/>
        <w:rPr>
          <w:rFonts w:cs="Arial"/>
        </w:rPr>
      </w:pPr>
      <w:r w:rsidRPr="00BE5552">
        <w:rPr>
          <w:rStyle w:val="EndnoteReference"/>
          <w:rFonts w:cs="Arial"/>
        </w:rPr>
        <w:endnoteRef/>
      </w:r>
      <w:r w:rsidRPr="00BE5552">
        <w:rPr>
          <w:rFonts w:cs="Arial"/>
        </w:rPr>
        <w:t xml:space="preserve"> Department of Families, Housing, Community Services and Indigenous Affairs together with the National Framework Implementation Working Group, </w:t>
      </w:r>
      <w:r w:rsidRPr="00BE5552">
        <w:rPr>
          <w:rFonts w:cs="Arial"/>
          <w:i/>
        </w:rPr>
        <w:t xml:space="preserve">An outline of National Standards for out-of-home care </w:t>
      </w:r>
      <w:r w:rsidRPr="00BE5552">
        <w:rPr>
          <w:rFonts w:cs="Arial"/>
        </w:rPr>
        <w:t xml:space="preserve">(2011) 8. At </w:t>
      </w:r>
      <w:hyperlink r:id="rId35" w:history="1">
        <w:r w:rsidRPr="00BE5552">
          <w:rPr>
            <w:rStyle w:val="Hyperlink"/>
            <w:rFonts w:cs="Arial"/>
          </w:rPr>
          <w:t>https://www.dss.gov.au/sites/default/files/documents/pac_national_standard.pdf</w:t>
        </w:r>
      </w:hyperlink>
      <w:r w:rsidRPr="00BE5552">
        <w:rPr>
          <w:rFonts w:cs="Arial"/>
        </w:rPr>
        <w:t xml:space="preserve"> (viewed 26 April 2018).</w:t>
      </w:r>
    </w:p>
  </w:endnote>
  <w:endnote w:id="82">
    <w:p w14:paraId="49518F68" w14:textId="77777777" w:rsidR="00B60B7D" w:rsidRPr="00BE5552" w:rsidRDefault="00B60B7D" w:rsidP="00D70791">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4. At </w:t>
      </w:r>
      <w:hyperlink r:id="rId36" w:history="1">
        <w:r w:rsidRPr="00BE5552">
          <w:rPr>
            <w:rStyle w:val="Hyperlink"/>
            <w:rFonts w:cs="Arial"/>
          </w:rPr>
          <w:t>https://www.aihw.gov.au/reports/adoptions/adoptions-australia-2016-17/contents/table-of-content</w:t>
        </w:r>
      </w:hyperlink>
      <w:r w:rsidRPr="00BE5552">
        <w:rPr>
          <w:rFonts w:cs="Arial"/>
        </w:rPr>
        <w:t xml:space="preserve"> (viewed 30 April 2018). </w:t>
      </w:r>
    </w:p>
  </w:endnote>
  <w:endnote w:id="83">
    <w:p w14:paraId="4032DEB6" w14:textId="4A7B1BE7" w:rsidR="00B60B7D" w:rsidRPr="00BE5552" w:rsidRDefault="00B60B7D" w:rsidP="00323658">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13. At </w:t>
      </w:r>
      <w:hyperlink r:id="rId37" w:history="1">
        <w:r w:rsidRPr="00BE5552">
          <w:rPr>
            <w:rStyle w:val="Hyperlink"/>
            <w:rFonts w:cs="Arial"/>
          </w:rPr>
          <w:t>https://www.aihw.gov.au/reports/adoptions/adoptions-australia-2016-17/contents/table-of-content</w:t>
        </w:r>
      </w:hyperlink>
      <w:r w:rsidRPr="00BE5552">
        <w:rPr>
          <w:rFonts w:cs="Arial"/>
        </w:rPr>
        <w:t xml:space="preserve"> (viewed 30 April 2018).</w:t>
      </w:r>
    </w:p>
  </w:endnote>
  <w:endnote w:id="84">
    <w:p w14:paraId="2C87DFF2" w14:textId="40CCF040" w:rsidR="00B60B7D" w:rsidRPr="00BE5552" w:rsidRDefault="00B60B7D" w:rsidP="007A610F">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13. At </w:t>
      </w:r>
      <w:hyperlink r:id="rId38" w:history="1">
        <w:r w:rsidRPr="00BE5552">
          <w:rPr>
            <w:rStyle w:val="Hyperlink"/>
            <w:rFonts w:cs="Arial"/>
          </w:rPr>
          <w:t>https://www.aihw.gov.au/reports/adoptions/adoptions-australia-2016-17/contents/table-of-content</w:t>
        </w:r>
      </w:hyperlink>
      <w:r w:rsidRPr="00BE5552">
        <w:rPr>
          <w:rFonts w:cs="Arial"/>
        </w:rPr>
        <w:t xml:space="preserve"> (viewed 30 April 2018).</w:t>
      </w:r>
    </w:p>
  </w:endnote>
  <w:endnote w:id="85">
    <w:p w14:paraId="7767958F" w14:textId="1EF799DC" w:rsidR="00B60B7D" w:rsidRPr="00BE5552" w:rsidRDefault="00B60B7D" w:rsidP="00301CBB">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37. At </w:t>
      </w:r>
      <w:hyperlink r:id="rId39" w:history="1">
        <w:r w:rsidRPr="00BE5552">
          <w:rPr>
            <w:rStyle w:val="Hyperlink"/>
            <w:rFonts w:cs="Arial"/>
          </w:rPr>
          <w:t>https://www.aihw.gov.au/reports/adoptions/adoptions-australia-2016-17/contents/table-of-content</w:t>
        </w:r>
      </w:hyperlink>
      <w:r w:rsidRPr="00BE5552">
        <w:rPr>
          <w:rFonts w:cs="Arial"/>
        </w:rPr>
        <w:t xml:space="preserve"> (viewed 30 April 2018).</w:t>
      </w:r>
    </w:p>
  </w:endnote>
  <w:endnote w:id="86">
    <w:p w14:paraId="6308D5EB" w14:textId="0A5633A4" w:rsidR="00B60B7D" w:rsidRPr="00BE5552" w:rsidRDefault="00B60B7D" w:rsidP="008443B5">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47. At </w:t>
      </w:r>
      <w:hyperlink r:id="rId40" w:history="1">
        <w:r w:rsidRPr="00BE5552">
          <w:rPr>
            <w:rStyle w:val="Hyperlink"/>
            <w:rFonts w:cs="Arial"/>
          </w:rPr>
          <w:t>https://www.aihw.gov.au/reports/adoptions/adoptions-australia-2016-17/contents/table-of-content</w:t>
        </w:r>
      </w:hyperlink>
      <w:r w:rsidRPr="00BE5552">
        <w:rPr>
          <w:rFonts w:cs="Arial"/>
        </w:rPr>
        <w:t xml:space="preserve"> (viewed 30 April 2018).</w:t>
      </w:r>
    </w:p>
  </w:endnote>
  <w:endnote w:id="87">
    <w:p w14:paraId="2B9EE3DE" w14:textId="07A2980C" w:rsidR="00B60B7D" w:rsidRPr="00BE5552" w:rsidRDefault="00B60B7D">
      <w:pPr>
        <w:pStyle w:val="EndnoteText"/>
        <w:rPr>
          <w:rFonts w:cs="Arial"/>
          <w:bCs/>
        </w:rPr>
      </w:pPr>
      <w:r w:rsidRPr="00BE5552">
        <w:rPr>
          <w:rStyle w:val="EndnoteReference"/>
          <w:rFonts w:cs="Arial"/>
        </w:rPr>
        <w:endnoteRef/>
      </w:r>
      <w:r w:rsidRPr="00BE5552">
        <w:rPr>
          <w:rFonts w:cs="Arial"/>
        </w:rPr>
        <w:t xml:space="preserve"> </w:t>
      </w:r>
      <w:r w:rsidRPr="00BE5552">
        <w:rPr>
          <w:rFonts w:cs="Arial"/>
          <w:bCs/>
        </w:rPr>
        <w:t>Julie Selwyn, Dinithi Wijedasa and Sarah Meakings,</w:t>
      </w:r>
      <w:r w:rsidRPr="00BE5552">
        <w:rPr>
          <w:rFonts w:cs="Arial"/>
        </w:rPr>
        <w:t xml:space="preserve"> </w:t>
      </w:r>
      <w:r w:rsidRPr="00BE5552">
        <w:rPr>
          <w:rFonts w:cs="Arial"/>
          <w:bCs/>
        </w:rPr>
        <w:t xml:space="preserve">University of Bristol School for Policy Studies Hadley Centre for Adoption and Foster Care Studies, </w:t>
      </w:r>
      <w:r w:rsidRPr="00BE5552">
        <w:rPr>
          <w:rFonts w:cs="Arial"/>
          <w:bCs/>
          <w:i/>
        </w:rPr>
        <w:t>Beyond the Adoption Order: challenges, interventions and adoption disruption</w:t>
      </w:r>
      <w:r w:rsidRPr="00BE5552">
        <w:rPr>
          <w:rFonts w:cs="Arial"/>
          <w:bCs/>
        </w:rPr>
        <w:t>,</w:t>
      </w:r>
      <w:r w:rsidRPr="00BE5552">
        <w:rPr>
          <w:rFonts w:cs="Arial"/>
          <w:bCs/>
          <w:i/>
        </w:rPr>
        <w:t xml:space="preserve"> </w:t>
      </w:r>
      <w:r w:rsidRPr="00BE5552">
        <w:rPr>
          <w:rFonts w:cs="Arial"/>
          <w:bCs/>
        </w:rPr>
        <w:t xml:space="preserve">Research report (2014). At </w:t>
      </w:r>
      <w:hyperlink r:id="rId41" w:history="1">
        <w:r w:rsidRPr="00BE5552">
          <w:rPr>
            <w:rStyle w:val="Hyperlink"/>
            <w:rFonts w:cs="Arial"/>
            <w:bCs/>
          </w:rPr>
          <w:t>https://assets.publishing.service.gov.uk/government/uploads/system/uploads/attachment_data/file/301889/Final_Report_-_3rd_April_2014v2.pdf</w:t>
        </w:r>
      </w:hyperlink>
      <w:r w:rsidRPr="00BE5552">
        <w:rPr>
          <w:rFonts w:cs="Arial"/>
          <w:bCs/>
        </w:rPr>
        <w:t xml:space="preserve"> (viewed 7 May 2018).</w:t>
      </w:r>
    </w:p>
  </w:endnote>
  <w:endnote w:id="88">
    <w:p w14:paraId="2145539C" w14:textId="7D2768DC" w:rsidR="00B60B7D" w:rsidRPr="00BE5552" w:rsidRDefault="00B60B7D">
      <w:pPr>
        <w:pStyle w:val="EndnoteText"/>
        <w:rPr>
          <w:rFonts w:cs="Arial"/>
        </w:rPr>
      </w:pPr>
      <w:r w:rsidRPr="00BE5552">
        <w:rPr>
          <w:rStyle w:val="EndnoteReference"/>
          <w:rFonts w:cs="Arial"/>
        </w:rPr>
        <w:endnoteRef/>
      </w:r>
      <w:r w:rsidRPr="00BE5552">
        <w:rPr>
          <w:rFonts w:cs="Arial"/>
        </w:rPr>
        <w:t xml:space="preserve"> NSW Government, </w:t>
      </w:r>
      <w:r w:rsidRPr="00BE5552">
        <w:rPr>
          <w:rFonts w:cs="Arial"/>
          <w:i/>
        </w:rPr>
        <w:t>Child Protection: Legislative Reform, Legislative proposals, Strengthening parental capacity, accountability and outcomes for children and young people in State care</w:t>
      </w:r>
      <w:r w:rsidRPr="00BE5552">
        <w:rPr>
          <w:rFonts w:cs="Arial"/>
        </w:rPr>
        <w:t xml:space="preserve">, Discussion Paper (2012) 25. At </w:t>
      </w:r>
      <w:hyperlink r:id="rId42" w:history="1">
        <w:r w:rsidRPr="00BE5552">
          <w:rPr>
            <w:rStyle w:val="Hyperlink"/>
            <w:rFonts w:cs="Arial"/>
          </w:rPr>
          <w:t>http://www.abc.net.au/cm/lb/5094252/data/community-disc-paper-data.pdf</w:t>
        </w:r>
      </w:hyperlink>
      <w:r w:rsidRPr="00BE5552">
        <w:rPr>
          <w:rFonts w:cs="Arial"/>
        </w:rPr>
        <w:t xml:space="preserve"> (viewed 7 May 2018).</w:t>
      </w:r>
    </w:p>
  </w:endnote>
  <w:endnote w:id="89">
    <w:p w14:paraId="4B23C14D" w14:textId="77777777" w:rsidR="00B60B7D" w:rsidRPr="00BE5552" w:rsidRDefault="00B60B7D" w:rsidP="001F0B13">
      <w:pPr>
        <w:pStyle w:val="EndnoteText"/>
        <w:rPr>
          <w:rFonts w:cs="Arial"/>
        </w:rPr>
      </w:pPr>
      <w:r w:rsidRPr="00BE5552">
        <w:rPr>
          <w:rStyle w:val="EndnoteReference"/>
          <w:rFonts w:cs="Arial"/>
        </w:rPr>
        <w:endnoteRef/>
      </w:r>
      <w:r w:rsidRPr="00BE5552">
        <w:rPr>
          <w:rFonts w:cs="Arial"/>
        </w:rPr>
        <w:t xml:space="preserve"> NSW Government, </w:t>
      </w:r>
      <w:r w:rsidRPr="00BE5552">
        <w:rPr>
          <w:rFonts w:cs="Arial"/>
          <w:i/>
        </w:rPr>
        <w:t>Shaping a Better Child Protection System</w:t>
      </w:r>
      <w:r w:rsidRPr="00BE5552">
        <w:rPr>
          <w:rFonts w:cs="Arial"/>
        </w:rPr>
        <w:t xml:space="preserve">, Discussion Paper (2017) 12. At </w:t>
      </w:r>
      <w:hyperlink r:id="rId43" w:history="1">
        <w:r w:rsidRPr="00BE5552">
          <w:rPr>
            <w:rStyle w:val="Hyperlink"/>
            <w:rFonts w:cs="Arial"/>
          </w:rPr>
          <w:t>https://www.facs.nsw.gov.au/__data/assets/pdf_file/0009/441495/FACS-Discussion-Paper-Shaping-a-Better-Child-Protection-System.PDF</w:t>
        </w:r>
      </w:hyperlink>
      <w:r w:rsidRPr="00BE5552">
        <w:rPr>
          <w:rFonts w:cs="Arial"/>
        </w:rPr>
        <w:t xml:space="preserve"> (viewed 31 May 2018).</w:t>
      </w:r>
    </w:p>
  </w:endnote>
  <w:endnote w:id="90">
    <w:p w14:paraId="61ED64D3" w14:textId="3D5B6FD8" w:rsidR="00B60B7D" w:rsidRPr="00BE5552" w:rsidRDefault="00B60B7D" w:rsidP="009E6DD7">
      <w:pPr>
        <w:pStyle w:val="EndnoteText"/>
        <w:rPr>
          <w:rFonts w:cs="Arial"/>
        </w:rPr>
      </w:pPr>
      <w:r w:rsidRPr="00BE5552">
        <w:rPr>
          <w:rStyle w:val="EndnoteReference"/>
          <w:rFonts w:cs="Arial"/>
        </w:rPr>
        <w:endnoteRef/>
      </w:r>
      <w:r w:rsidRPr="00BE5552">
        <w:rPr>
          <w:rFonts w:cs="Arial"/>
        </w:rPr>
        <w:t xml:space="preserve"> See NSW Government, Department of Family and Community Services, </w:t>
      </w:r>
      <w:r w:rsidRPr="00BE5552">
        <w:rPr>
          <w:rFonts w:cs="Arial"/>
          <w:i/>
        </w:rPr>
        <w:t>Permanency Support Program</w:t>
      </w:r>
      <w:r w:rsidRPr="00BE5552">
        <w:rPr>
          <w:rFonts w:cs="Arial"/>
        </w:rPr>
        <w:t xml:space="preserve">. At </w:t>
      </w:r>
      <w:hyperlink r:id="rId44" w:history="1">
        <w:r w:rsidRPr="00BE5552">
          <w:rPr>
            <w:rStyle w:val="Hyperlink"/>
            <w:rFonts w:cs="Arial"/>
          </w:rPr>
          <w:t>https://www.facs.nsw.gov.au/families/permanency-support-program</w:t>
        </w:r>
      </w:hyperlink>
      <w:r w:rsidRPr="00BE5552">
        <w:rPr>
          <w:rFonts w:cs="Arial"/>
        </w:rPr>
        <w:t xml:space="preserve"> (viewed 9 May 2018).</w:t>
      </w:r>
    </w:p>
  </w:endnote>
  <w:endnote w:id="91">
    <w:p w14:paraId="33E661A8" w14:textId="6011FB4F" w:rsidR="00B60B7D" w:rsidRPr="00BE5552" w:rsidRDefault="00B60B7D" w:rsidP="005806D6">
      <w:pPr>
        <w:pStyle w:val="EndnoteText"/>
        <w:rPr>
          <w:rFonts w:cs="Arial"/>
        </w:rPr>
      </w:pPr>
      <w:r w:rsidRPr="00BE5552">
        <w:rPr>
          <w:rStyle w:val="EndnoteReference"/>
          <w:rFonts w:cs="Arial"/>
        </w:rPr>
        <w:endnoteRef/>
      </w:r>
      <w:r w:rsidRPr="00BE5552">
        <w:rPr>
          <w:rFonts w:cs="Arial"/>
        </w:rPr>
        <w:t xml:space="preserve"> See NSW Government, Department of Family and Community Services, </w:t>
      </w:r>
      <w:r w:rsidRPr="00BE5552">
        <w:rPr>
          <w:rFonts w:cs="Arial"/>
          <w:i/>
        </w:rPr>
        <w:t>Paths to permanency</w:t>
      </w:r>
      <w:r w:rsidRPr="00BE5552">
        <w:rPr>
          <w:rFonts w:cs="Arial"/>
        </w:rPr>
        <w:t xml:space="preserve">. At </w:t>
      </w:r>
      <w:hyperlink r:id="rId45" w:history="1">
        <w:r w:rsidRPr="00BE5552">
          <w:rPr>
            <w:rStyle w:val="Hyperlink"/>
            <w:rFonts w:cs="Arial"/>
          </w:rPr>
          <w:t>https://www.facs.nsw.gov.au/families/permanency-support-program/paths</w:t>
        </w:r>
      </w:hyperlink>
      <w:r w:rsidRPr="00BE5552">
        <w:rPr>
          <w:rFonts w:cs="Arial"/>
        </w:rPr>
        <w:t xml:space="preserve"> (viewed 9 May 2018).</w:t>
      </w:r>
    </w:p>
  </w:endnote>
  <w:endnote w:id="92">
    <w:p w14:paraId="43198265" w14:textId="050799BB" w:rsidR="00B60B7D" w:rsidRPr="00BE5552" w:rsidRDefault="00B60B7D">
      <w:pPr>
        <w:pStyle w:val="EndnoteText"/>
        <w:rPr>
          <w:rFonts w:cs="Arial"/>
        </w:rPr>
      </w:pPr>
      <w:r w:rsidRPr="00BE5552">
        <w:rPr>
          <w:rStyle w:val="EndnoteReference"/>
          <w:rFonts w:cs="Arial"/>
        </w:rPr>
        <w:endnoteRef/>
      </w:r>
      <w:r w:rsidRPr="00BE5552">
        <w:rPr>
          <w:rFonts w:cs="Arial"/>
        </w:rPr>
        <w:t xml:space="preserve"> See, for example Marinus H Van Ijzendoorn and Femmie Juffer, ‘The Emanuel Miller Memorial Lecture 2006: Adoption as an intervention. Meta-analytic evidence for massive catch-up and plasticity in physical, socio-emotional, and cognitive development’ (2006) 47 (12) </w:t>
      </w:r>
      <w:r w:rsidRPr="00BE5552">
        <w:rPr>
          <w:rFonts w:cs="Arial"/>
          <w:i/>
        </w:rPr>
        <w:t>Journal of Child Psychology and Psychiatry</w:t>
      </w:r>
      <w:r w:rsidRPr="00BE5552">
        <w:rPr>
          <w:rFonts w:cs="Arial"/>
        </w:rPr>
        <w:t xml:space="preserve"> 1228-1245.</w:t>
      </w:r>
    </w:p>
  </w:endnote>
  <w:endnote w:id="93">
    <w:p w14:paraId="7A9EC017" w14:textId="4A3F46ED" w:rsidR="00B60B7D" w:rsidRPr="00BE5552" w:rsidRDefault="00B60B7D">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At </w:t>
      </w:r>
      <w:hyperlink r:id="rId46" w:history="1">
        <w:r w:rsidRPr="00BE5552">
          <w:rPr>
            <w:rStyle w:val="Hyperlink"/>
            <w:rFonts w:cs="Arial"/>
          </w:rPr>
          <w:t>https://www.humanrights.gov.au/publications/bringing-them-home-report-1997</w:t>
        </w:r>
      </w:hyperlink>
      <w:r w:rsidRPr="00BE5552">
        <w:rPr>
          <w:rFonts w:cs="Arial"/>
        </w:rPr>
        <w:t xml:space="preserve"> (viewed 31 May 2018).</w:t>
      </w:r>
    </w:p>
  </w:endnote>
  <w:endnote w:id="94">
    <w:p w14:paraId="60860CBE" w14:textId="17298789" w:rsidR="00B60B7D" w:rsidRPr="00BE5552" w:rsidRDefault="00B60B7D">
      <w:pPr>
        <w:pStyle w:val="EndnoteText"/>
        <w:rPr>
          <w:rFonts w:cs="Arial"/>
        </w:rPr>
      </w:pPr>
      <w:r w:rsidRPr="00BE5552">
        <w:rPr>
          <w:rStyle w:val="EndnoteReference"/>
          <w:rFonts w:cs="Arial"/>
        </w:rPr>
        <w:endnoteRef/>
      </w:r>
      <w:r w:rsidRPr="00BE5552">
        <w:rPr>
          <w:rFonts w:cs="Arial"/>
        </w:rPr>
        <w:t xml:space="preserve"> </w:t>
      </w:r>
      <w:r w:rsidRPr="00BE5552">
        <w:rPr>
          <w:rFonts w:eastAsia="Calibri-Light" w:cs="Arial"/>
        </w:rPr>
        <w:t xml:space="preserve">Senate Community Affairs References Committee, Parliament of Australia, </w:t>
      </w:r>
      <w:r w:rsidRPr="00BE5552">
        <w:rPr>
          <w:rFonts w:eastAsia="Times New Roman" w:cs="Arial"/>
          <w:bCs/>
          <w:i/>
        </w:rPr>
        <w:t>Lost Innocents: Righting the Record - Report on child migration</w:t>
      </w:r>
      <w:r w:rsidRPr="00BE5552">
        <w:rPr>
          <w:rFonts w:eastAsia="Times New Roman" w:cs="Arial"/>
          <w:bCs/>
        </w:rPr>
        <w:t xml:space="preserve"> (2001). At </w:t>
      </w:r>
      <w:hyperlink r:id="rId47" w:history="1">
        <w:r w:rsidRPr="00BE5552">
          <w:rPr>
            <w:rStyle w:val="Hyperlink"/>
            <w:rFonts w:eastAsia="Times New Roman" w:cs="Arial"/>
            <w:bCs/>
          </w:rPr>
          <w:t>https://www.aph.gov.au/Parliamentary_Business/Committees/Senate/Community_Affairs/Completed_inquiries/1999-02/child_migrat/report/index</w:t>
        </w:r>
      </w:hyperlink>
      <w:r w:rsidRPr="00BE5552">
        <w:rPr>
          <w:rFonts w:eastAsia="Times New Roman" w:cs="Arial"/>
          <w:bCs/>
          <w:color w:val="222222"/>
        </w:rPr>
        <w:t xml:space="preserve"> (viewed 10 May 2018).</w:t>
      </w:r>
    </w:p>
  </w:endnote>
  <w:endnote w:id="95">
    <w:p w14:paraId="13936D06" w14:textId="4165518F" w:rsidR="00B60B7D" w:rsidRPr="00BE5552" w:rsidRDefault="00B60B7D">
      <w:pPr>
        <w:pStyle w:val="EndnoteText"/>
        <w:rPr>
          <w:rFonts w:eastAsia="Calibri-Light" w:cs="Arial"/>
        </w:rPr>
      </w:pPr>
      <w:r w:rsidRPr="00BE5552">
        <w:rPr>
          <w:rStyle w:val="EndnoteReference"/>
          <w:rFonts w:cs="Arial"/>
        </w:rPr>
        <w:endnoteRef/>
      </w:r>
      <w:r w:rsidRPr="00BE5552">
        <w:rPr>
          <w:rFonts w:cs="Arial"/>
        </w:rPr>
        <w:t xml:space="preserve"> </w:t>
      </w:r>
      <w:r w:rsidRPr="00BE5552">
        <w:rPr>
          <w:rFonts w:eastAsia="Calibri-Light" w:cs="Arial"/>
        </w:rPr>
        <w:t xml:space="preserve">Senate Community Affairs References Committee, Parliament of Australia, </w:t>
      </w:r>
      <w:r w:rsidRPr="00BE5552">
        <w:rPr>
          <w:rFonts w:cs="Arial"/>
          <w:bCs/>
          <w:i/>
        </w:rPr>
        <w:t>Forgotten Australians: A report on Australians who experienced institutional or out-of-home care as children</w:t>
      </w:r>
      <w:r w:rsidRPr="00BE5552">
        <w:rPr>
          <w:rFonts w:cs="Arial"/>
          <w:bCs/>
        </w:rPr>
        <w:t xml:space="preserve"> (2004).</w:t>
      </w:r>
      <w:r w:rsidRPr="00BE5552">
        <w:rPr>
          <w:rFonts w:eastAsia="Calibri-Light" w:cs="Arial"/>
        </w:rPr>
        <w:t xml:space="preserve"> At </w:t>
      </w:r>
      <w:hyperlink r:id="rId48" w:history="1">
        <w:r w:rsidRPr="00BE5552">
          <w:rPr>
            <w:rStyle w:val="Hyperlink"/>
            <w:rFonts w:eastAsia="Calibri-Light" w:cs="Arial"/>
          </w:rPr>
          <w:t>https://www.aph.gov.au/Parliamentary_Business/Committees/Senate/Community_Affairs/Completed_inquiries/2004-07/inst_care/report/index</w:t>
        </w:r>
      </w:hyperlink>
      <w:r w:rsidRPr="00BE5552">
        <w:rPr>
          <w:rFonts w:eastAsia="Calibri-Light" w:cs="Arial"/>
        </w:rPr>
        <w:t xml:space="preserve"> (viewed 10 May 2018).</w:t>
      </w:r>
    </w:p>
  </w:endnote>
  <w:endnote w:id="96">
    <w:p w14:paraId="67BAA8BD" w14:textId="45150C77" w:rsidR="00B60B7D" w:rsidRPr="00BE5552" w:rsidRDefault="00B60B7D">
      <w:pPr>
        <w:pStyle w:val="EndnoteText"/>
        <w:rPr>
          <w:rFonts w:eastAsia="Calibri-Light" w:cs="Arial"/>
        </w:rPr>
      </w:pPr>
      <w:r w:rsidRPr="00BE5552">
        <w:rPr>
          <w:rStyle w:val="EndnoteReference"/>
          <w:rFonts w:cs="Arial"/>
        </w:rPr>
        <w:endnoteRef/>
      </w:r>
      <w:r w:rsidRPr="00BE5552">
        <w:rPr>
          <w:rFonts w:cs="Arial"/>
        </w:rPr>
        <w:t xml:space="preserve"> </w:t>
      </w:r>
      <w:r w:rsidRPr="00BE5552">
        <w:rPr>
          <w:rFonts w:eastAsia="Calibri-Light" w:cs="Arial"/>
        </w:rPr>
        <w:t xml:space="preserve">Senate Community Affairs References Committee, Parliament of Australia, </w:t>
      </w:r>
      <w:r w:rsidRPr="00BE5552">
        <w:rPr>
          <w:rFonts w:cs="Arial"/>
          <w:i/>
          <w:iCs/>
        </w:rPr>
        <w:t xml:space="preserve">Commonwealth Contribution to Former Forced Adoption Policies and Practices </w:t>
      </w:r>
      <w:r w:rsidRPr="00BE5552">
        <w:rPr>
          <w:rFonts w:cs="Arial"/>
          <w:iCs/>
        </w:rPr>
        <w:t>(2012). At</w:t>
      </w:r>
      <w:r w:rsidRPr="00BE5552">
        <w:rPr>
          <w:rFonts w:cs="Arial"/>
          <w:b/>
          <w:iCs/>
        </w:rPr>
        <w:t xml:space="preserve"> </w:t>
      </w:r>
      <w:hyperlink r:id="rId49" w:history="1">
        <w:r w:rsidRPr="00BE5552">
          <w:rPr>
            <w:rStyle w:val="Hyperlink"/>
            <w:rFonts w:cs="Arial"/>
            <w:iCs/>
          </w:rPr>
          <w:t>https://www.aph.gov.au/Parliamentary_Business/Committees/Senate/Community_Affairs/Completed_inquiries/2010-13/commcontribformerforcedadoption/report/index</w:t>
        </w:r>
      </w:hyperlink>
      <w:r w:rsidRPr="00BE5552">
        <w:rPr>
          <w:rFonts w:cs="Arial"/>
          <w:iCs/>
        </w:rPr>
        <w:t xml:space="preserve"> (viewed 10 May 2018).</w:t>
      </w:r>
    </w:p>
  </w:endnote>
  <w:endnote w:id="97">
    <w:p w14:paraId="73C6C81C" w14:textId="7A870717" w:rsidR="00B60B7D" w:rsidRPr="00BE5552" w:rsidRDefault="00B60B7D" w:rsidP="005024FF">
      <w:pPr>
        <w:pStyle w:val="EndnoteText"/>
        <w:rPr>
          <w:rFonts w:cs="Arial"/>
          <w:lang w:val="en"/>
        </w:rPr>
      </w:pPr>
      <w:r w:rsidRPr="00BE5552">
        <w:rPr>
          <w:rStyle w:val="EndnoteReference"/>
          <w:rFonts w:cs="Arial"/>
        </w:rPr>
        <w:endnoteRef/>
      </w:r>
      <w:r w:rsidRPr="00BE5552">
        <w:rPr>
          <w:rFonts w:cs="Arial"/>
        </w:rPr>
        <w:t xml:space="preserve"> The Hon Kevin Rudd MP, Prime Minister, </w:t>
      </w:r>
      <w:r w:rsidRPr="00BE5552">
        <w:rPr>
          <w:rFonts w:cs="Arial"/>
          <w:lang w:val="en"/>
        </w:rPr>
        <w:t xml:space="preserve">Transcript of address at the National Apology to Australia’s Indigenous Peoples (Delivered at Parliament House, Canberra, 13 February 2008). At </w:t>
      </w:r>
      <w:hyperlink r:id="rId50" w:history="1">
        <w:r w:rsidRPr="00BE5552">
          <w:rPr>
            <w:rStyle w:val="Hyperlink"/>
            <w:rFonts w:cs="Arial"/>
            <w:lang w:val="en"/>
          </w:rPr>
          <w:t>https://www.australia.gov.au/about-australia/our-country/our-people/apology-to-australias-indigenous-peoples</w:t>
        </w:r>
      </w:hyperlink>
      <w:r w:rsidRPr="00BE5552">
        <w:rPr>
          <w:rFonts w:cs="Arial"/>
          <w:lang w:val="en"/>
        </w:rPr>
        <w:t xml:space="preserve"> (viewed 30 May 2018). </w:t>
      </w:r>
    </w:p>
  </w:endnote>
  <w:endnote w:id="98">
    <w:p w14:paraId="1B5C7B2E" w14:textId="0A2493F5" w:rsidR="00B60B7D" w:rsidRPr="00BE5552" w:rsidRDefault="00B60B7D" w:rsidP="003324E3">
      <w:pPr>
        <w:pStyle w:val="EndnoteText"/>
        <w:rPr>
          <w:rFonts w:cs="Arial"/>
          <w:lang w:val="en"/>
        </w:rPr>
      </w:pPr>
      <w:r w:rsidRPr="00BE5552">
        <w:rPr>
          <w:rStyle w:val="EndnoteReference"/>
          <w:rFonts w:cs="Arial"/>
        </w:rPr>
        <w:endnoteRef/>
      </w:r>
      <w:r w:rsidRPr="00BE5552">
        <w:rPr>
          <w:rFonts w:cs="Arial"/>
        </w:rPr>
        <w:t xml:space="preserve"> The Hon Kevin Rudd MP, Prime Minister, </w:t>
      </w:r>
      <w:r w:rsidRPr="00BE5552">
        <w:rPr>
          <w:rFonts w:cs="Arial"/>
          <w:lang w:val="en"/>
        </w:rPr>
        <w:t xml:space="preserve">Transcript of address at the National Apology to the Forgotten Australians and Former Child Migrants (Delivered at Parliament House, Canberra, 16 November 2009). At </w:t>
      </w:r>
      <w:hyperlink r:id="rId51" w:history="1">
        <w:r w:rsidRPr="00BE5552">
          <w:rPr>
            <w:rStyle w:val="Hyperlink"/>
            <w:rFonts w:cs="Arial"/>
            <w:lang w:val="en"/>
          </w:rPr>
          <w:t>http://pandora.nla.gov.au/pan/110625/20091116-1801/www.pm.gov.au/node/6321.html</w:t>
        </w:r>
      </w:hyperlink>
      <w:r w:rsidRPr="00BE5552">
        <w:rPr>
          <w:rFonts w:cs="Arial"/>
          <w:lang w:val="en"/>
        </w:rPr>
        <w:t xml:space="preserve"> (viewed 30 May 2018). </w:t>
      </w:r>
    </w:p>
  </w:endnote>
  <w:endnote w:id="99">
    <w:p w14:paraId="267ACBFD" w14:textId="7B8866F4" w:rsidR="00B60B7D" w:rsidRPr="00BE5552" w:rsidRDefault="00B60B7D">
      <w:pPr>
        <w:pStyle w:val="EndnoteText"/>
        <w:rPr>
          <w:rFonts w:cs="Arial"/>
        </w:rPr>
      </w:pPr>
      <w:r w:rsidRPr="00BE5552">
        <w:rPr>
          <w:rStyle w:val="EndnoteReference"/>
          <w:rFonts w:cs="Arial"/>
        </w:rPr>
        <w:endnoteRef/>
      </w:r>
      <w:r w:rsidRPr="00BE5552">
        <w:rPr>
          <w:rFonts w:cs="Arial"/>
        </w:rPr>
        <w:t xml:space="preserve"> The Hon Julia Gillard MP, Prime Minister, Transcript of address at the National Apology for Forced Adoptions (</w:t>
      </w:r>
      <w:r w:rsidRPr="00BE5552">
        <w:rPr>
          <w:rFonts w:cs="Arial"/>
          <w:lang w:val="en"/>
        </w:rPr>
        <w:t xml:space="preserve">Delivered at Parliament House, Canberra, 21 March 2013). At </w:t>
      </w:r>
      <w:hyperlink r:id="rId52" w:history="1">
        <w:r w:rsidRPr="00BE5552">
          <w:rPr>
            <w:rStyle w:val="Hyperlink"/>
            <w:rFonts w:cs="Arial"/>
            <w:lang w:val="en"/>
          </w:rPr>
          <w:t>https://www.ag.gov.au/About/ForcedAdoptionsApology/Pages/default.aspx</w:t>
        </w:r>
      </w:hyperlink>
      <w:r w:rsidRPr="00BE5552">
        <w:rPr>
          <w:rFonts w:cs="Arial"/>
          <w:lang w:val="en"/>
        </w:rPr>
        <w:t xml:space="preserve"> (viewed 30 May 2018).</w:t>
      </w:r>
    </w:p>
  </w:endnote>
  <w:endnote w:id="100">
    <w:p w14:paraId="58005BCD" w14:textId="652A9E6B" w:rsidR="00B60B7D" w:rsidRPr="00BE5552" w:rsidRDefault="00B60B7D">
      <w:pPr>
        <w:pStyle w:val="EndnoteText"/>
        <w:rPr>
          <w:rFonts w:cs="Arial"/>
        </w:rPr>
      </w:pPr>
      <w:r w:rsidRPr="00BE5552">
        <w:rPr>
          <w:rStyle w:val="EndnoteReference"/>
          <w:rFonts w:cs="Arial"/>
        </w:rPr>
        <w:endnoteRef/>
      </w:r>
      <w:r w:rsidRPr="00BE5552">
        <w:rPr>
          <w:rFonts w:cs="Arial"/>
        </w:rPr>
        <w:t xml:space="preserve"> Australian Institute of Health and Welfare, </w:t>
      </w:r>
      <w:r w:rsidRPr="00BE5552">
        <w:rPr>
          <w:rFonts w:cs="Arial"/>
          <w:i/>
        </w:rPr>
        <w:t>Adoptions Australia 2016-2017</w:t>
      </w:r>
      <w:r w:rsidRPr="00BE5552">
        <w:rPr>
          <w:rFonts w:cs="Arial"/>
        </w:rPr>
        <w:t xml:space="preserve"> (2017) 27. At </w:t>
      </w:r>
      <w:hyperlink r:id="rId53" w:history="1">
        <w:r w:rsidRPr="00BE5552">
          <w:rPr>
            <w:rStyle w:val="Hyperlink"/>
            <w:rFonts w:cs="Arial"/>
          </w:rPr>
          <w:t>https://www.aihw.gov.au/reports/adoptions/adoptions-australia-2016-17/contents/table-of-content</w:t>
        </w:r>
      </w:hyperlink>
      <w:r w:rsidRPr="00BE5552">
        <w:rPr>
          <w:rFonts w:cs="Arial"/>
        </w:rPr>
        <w:t xml:space="preserve"> (viewed 30 April 2018).</w:t>
      </w:r>
    </w:p>
  </w:endnote>
  <w:endnote w:id="101">
    <w:p w14:paraId="6E9C8B9B" w14:textId="0F691EE8" w:rsidR="00B60B7D" w:rsidRPr="00BE5552" w:rsidRDefault="00B60B7D" w:rsidP="007120A4">
      <w:pPr>
        <w:pStyle w:val="EndnoteText"/>
        <w:rPr>
          <w:rFonts w:cs="Arial"/>
          <w:lang w:val="en-US"/>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At </w:t>
      </w:r>
      <w:hyperlink r:id="rId54" w:history="1">
        <w:r w:rsidRPr="00BE5552">
          <w:rPr>
            <w:rStyle w:val="Hyperlink"/>
            <w:rFonts w:cs="Arial"/>
          </w:rPr>
          <w:t>https://www.humanrights.gov.au/sites/default/files/content/pdf/social_justice/bringing_them_home_report.pdf</w:t>
        </w:r>
      </w:hyperlink>
      <w:r w:rsidRPr="00BE5552">
        <w:rPr>
          <w:rFonts w:cs="Arial"/>
        </w:rPr>
        <w:t xml:space="preserve">  (viewed 30 May 2018). </w:t>
      </w:r>
    </w:p>
  </w:endnote>
  <w:endnote w:id="102">
    <w:p w14:paraId="3BAF6D24" w14:textId="1B50B8B3" w:rsidR="00B60B7D" w:rsidRPr="00BE5552" w:rsidRDefault="00B60B7D" w:rsidP="00FB775B">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Ch 22. At </w:t>
      </w:r>
      <w:hyperlink r:id="rId55" w:history="1">
        <w:r w:rsidRPr="00BE5552">
          <w:rPr>
            <w:rStyle w:val="Hyperlink"/>
            <w:rFonts w:cs="Arial"/>
          </w:rPr>
          <w:t>https://www.humanrights.gov.au/publications/bringing-them-home-chapter-22</w:t>
        </w:r>
      </w:hyperlink>
      <w:r w:rsidRPr="00BE5552">
        <w:rPr>
          <w:rFonts w:cs="Arial"/>
        </w:rPr>
        <w:t xml:space="preserve"> (viewed 30 May 2018).</w:t>
      </w:r>
    </w:p>
  </w:endnote>
  <w:endnote w:id="103">
    <w:p w14:paraId="40C82E2C" w14:textId="0A75CFA4" w:rsidR="00B60B7D" w:rsidRPr="00BE5552" w:rsidRDefault="00B60B7D" w:rsidP="004B6B7E">
      <w:pPr>
        <w:pStyle w:val="EndnoteText"/>
        <w:rPr>
          <w:rFonts w:cs="Arial"/>
        </w:rPr>
      </w:pPr>
      <w:r w:rsidRPr="00BE5552">
        <w:rPr>
          <w:rStyle w:val="EndnoteReference"/>
          <w:rFonts w:cs="Arial"/>
        </w:rPr>
        <w:endnoteRef/>
      </w:r>
      <w:r w:rsidRPr="00BE5552">
        <w:rPr>
          <w:rFonts w:cs="Arial"/>
        </w:rPr>
        <w:t xml:space="preserve"> Australian Law Reform Commission, </w:t>
      </w:r>
      <w:r w:rsidRPr="00BE5552">
        <w:rPr>
          <w:rFonts w:cs="Arial"/>
          <w:i/>
        </w:rPr>
        <w:t xml:space="preserve">Recognition of Aboriginal Customary Laws, </w:t>
      </w:r>
      <w:r w:rsidRPr="00BE5552">
        <w:rPr>
          <w:rFonts w:cs="Arial"/>
        </w:rPr>
        <w:t xml:space="preserve">ALRC Report 31 (1986) [383]. At </w:t>
      </w:r>
      <w:hyperlink r:id="rId56" w:history="1">
        <w:r w:rsidRPr="00BE5552">
          <w:rPr>
            <w:rStyle w:val="Hyperlink"/>
            <w:rFonts w:cs="Arial"/>
          </w:rPr>
          <w:t>https://www.alrc.gov.au/publications/report-31</w:t>
        </w:r>
      </w:hyperlink>
      <w:r w:rsidRPr="00BE5552">
        <w:rPr>
          <w:rFonts w:cs="Arial"/>
        </w:rPr>
        <w:t xml:space="preserve"> (viewed 5 June 2018).</w:t>
      </w:r>
    </w:p>
  </w:endnote>
  <w:endnote w:id="104">
    <w:p w14:paraId="2F307C0C" w14:textId="3E91D501" w:rsidR="00B60B7D" w:rsidRPr="00BE5552" w:rsidRDefault="00B60B7D" w:rsidP="005F0CDF">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 xml:space="preserve">Review of the Adoption Act 1984: Report </w:t>
      </w:r>
      <w:r w:rsidRPr="00BE5552">
        <w:rPr>
          <w:rFonts w:cs="Arial"/>
        </w:rPr>
        <w:t xml:space="preserve">(2017) [6.74]. At </w:t>
      </w:r>
    </w:p>
    <w:p w14:paraId="7213AB01" w14:textId="77777777" w:rsidR="00B60B7D" w:rsidRPr="00BE5552" w:rsidRDefault="00AC0B7E" w:rsidP="005F0CDF">
      <w:pPr>
        <w:pStyle w:val="EndnoteText"/>
        <w:rPr>
          <w:rFonts w:cs="Arial"/>
        </w:rPr>
      </w:pPr>
      <w:hyperlink r:id="rId57" w:history="1">
        <w:r w:rsidR="00B60B7D" w:rsidRPr="00BE5552">
          <w:rPr>
            <w:rStyle w:val="Hyperlink"/>
            <w:rFonts w:cs="Arial"/>
          </w:rPr>
          <w:t>http://lawreform.vic.gov.au/sites/default/files/VLRC_Adoption_Report_forweb.pdf</w:t>
        </w:r>
      </w:hyperlink>
      <w:r w:rsidR="00B60B7D" w:rsidRPr="00BE5552">
        <w:rPr>
          <w:rFonts w:cs="Arial"/>
        </w:rPr>
        <w:t xml:space="preserve"> (viewed 30 May 2018).</w:t>
      </w:r>
    </w:p>
  </w:endnote>
  <w:endnote w:id="105">
    <w:p w14:paraId="4397EC92" w14:textId="704D0485" w:rsidR="00B60B7D" w:rsidRPr="00BE5552" w:rsidRDefault="00B60B7D" w:rsidP="005F0CDF">
      <w:pPr>
        <w:pStyle w:val="EndnoteText"/>
        <w:rPr>
          <w:rFonts w:cs="Arial"/>
        </w:rPr>
      </w:pPr>
      <w:r w:rsidRPr="00BE5552">
        <w:rPr>
          <w:rStyle w:val="EndnoteReference"/>
          <w:rFonts w:cs="Arial"/>
        </w:rPr>
        <w:endnoteRef/>
      </w:r>
      <w:r w:rsidRPr="00BE5552">
        <w:rPr>
          <w:rFonts w:cs="Arial"/>
        </w:rPr>
        <w:t xml:space="preserve"> Australian Law Reform Commission, </w:t>
      </w:r>
      <w:r w:rsidRPr="00BE5552">
        <w:rPr>
          <w:rFonts w:cs="Arial"/>
          <w:i/>
        </w:rPr>
        <w:t xml:space="preserve">Recognition of Aboriginal Customary Laws, </w:t>
      </w:r>
      <w:r w:rsidRPr="00BE5552">
        <w:rPr>
          <w:rFonts w:cs="Arial"/>
        </w:rPr>
        <w:t xml:space="preserve">ALRC Report 31 (1986) [383]. At </w:t>
      </w:r>
      <w:hyperlink r:id="rId58" w:history="1">
        <w:r w:rsidRPr="00BE5552">
          <w:rPr>
            <w:rStyle w:val="Hyperlink"/>
            <w:rFonts w:cs="Arial"/>
          </w:rPr>
          <w:t>https://www.alrc.gov.au/publications/report-31</w:t>
        </w:r>
      </w:hyperlink>
      <w:r w:rsidRPr="00BE5552">
        <w:rPr>
          <w:rFonts w:cs="Arial"/>
        </w:rPr>
        <w:t xml:space="preserve"> (viewed 5 June 2018).</w:t>
      </w:r>
    </w:p>
  </w:endnote>
  <w:endnote w:id="106">
    <w:p w14:paraId="1CB8F23B" w14:textId="223B3372" w:rsidR="00B60B7D" w:rsidRPr="00BE5552" w:rsidRDefault="00B60B7D" w:rsidP="003B1BD0">
      <w:pPr>
        <w:pStyle w:val="EndnoteText"/>
        <w:rPr>
          <w:rFonts w:cs="Arial"/>
        </w:rPr>
      </w:pPr>
      <w:r w:rsidRPr="00BE5552">
        <w:rPr>
          <w:rStyle w:val="EndnoteReference"/>
          <w:rFonts w:cs="Arial"/>
        </w:rPr>
        <w:endnoteRef/>
      </w:r>
      <w:r w:rsidRPr="00BE5552">
        <w:rPr>
          <w:rFonts w:cs="Arial"/>
        </w:rPr>
        <w:t xml:space="preserve"> Michael </w:t>
      </w:r>
      <w:r w:rsidRPr="00BE5552">
        <w:rPr>
          <w:rFonts w:eastAsia="Times New Roman" w:cs="Arial"/>
          <w:lang w:eastAsia="en-US"/>
        </w:rPr>
        <w:t>Chandler and Christopher Lalonde, ‘Cultural Continuity as a Protective Factor Against Suicide in First Nations Youth’ (2008) 10(1)</w:t>
      </w:r>
      <w:r w:rsidRPr="00BE5552">
        <w:rPr>
          <w:rFonts w:eastAsia="Times New Roman" w:cs="Arial"/>
          <w:i/>
          <w:lang w:eastAsia="en-US"/>
        </w:rPr>
        <w:t xml:space="preserve"> Horizons–</w:t>
      </w:r>
      <w:r w:rsidRPr="00BE5552">
        <w:rPr>
          <w:rFonts w:eastAsia="Times New Roman" w:cs="Arial"/>
          <w:i/>
          <w:iCs/>
          <w:lang w:eastAsia="en-US"/>
        </w:rPr>
        <w:t>A Special Issue on Aboriginal Youth, Home or Heartbreak: Aboriginal Youth and Canada’s Future</w:t>
      </w:r>
      <w:r w:rsidRPr="00BE5552">
        <w:rPr>
          <w:rFonts w:eastAsia="Times New Roman" w:cs="Arial"/>
          <w:iCs/>
          <w:lang w:eastAsia="en-US"/>
        </w:rPr>
        <w:t xml:space="preserve"> 68-72. At </w:t>
      </w:r>
      <w:hyperlink r:id="rId59" w:history="1">
        <w:r w:rsidRPr="00BE5552">
          <w:rPr>
            <w:rStyle w:val="Hyperlink"/>
            <w:rFonts w:cs="Arial"/>
          </w:rPr>
          <w:t>https://www.researchgate.net/publication/239921354_Cultural_Continuity_as_a_Protective_Factor_Against_Suicide_in_First_Nations_Youth</w:t>
        </w:r>
      </w:hyperlink>
      <w:r w:rsidRPr="00BE5552">
        <w:rPr>
          <w:rFonts w:cs="Arial"/>
        </w:rPr>
        <w:t xml:space="preserve"> (viewed 30 May 2018).</w:t>
      </w:r>
    </w:p>
  </w:endnote>
  <w:endnote w:id="107">
    <w:p w14:paraId="1AE1481C" w14:textId="6BB83580" w:rsidR="00B60B7D" w:rsidRPr="00BE5552" w:rsidRDefault="00B60B7D" w:rsidP="00F23B2F">
      <w:pPr>
        <w:pStyle w:val="EndnoteText"/>
        <w:rPr>
          <w:rFonts w:cs="Arial"/>
        </w:rPr>
      </w:pPr>
      <w:r w:rsidRPr="00BE5552">
        <w:rPr>
          <w:rStyle w:val="EndnoteReference"/>
          <w:rFonts w:cs="Arial"/>
        </w:rPr>
        <w:endnoteRef/>
      </w:r>
      <w:r w:rsidRPr="00BE5552">
        <w:rPr>
          <w:rFonts w:cs="Arial"/>
        </w:rPr>
        <w:t xml:space="preserve"> John De Maio, et al, </w:t>
      </w:r>
      <w:r w:rsidRPr="00BE5552">
        <w:rPr>
          <w:rFonts w:cs="Arial"/>
          <w:i/>
        </w:rPr>
        <w:t>The Western Australian Aboriginal Child Health Survey: Measuring the Social and Emotional Wellbeing of Aboriginal Children and Intergenerational Effects of Forced Separation</w:t>
      </w:r>
      <w:r w:rsidRPr="00BE5552">
        <w:rPr>
          <w:rFonts w:cs="Arial"/>
        </w:rPr>
        <w:t>, Curtin University of Technology and Telethon Institute for Child Health Research (2005). At</w:t>
      </w:r>
    </w:p>
    <w:p w14:paraId="45651009" w14:textId="4F980D59" w:rsidR="00B60B7D" w:rsidRPr="00BE5552" w:rsidRDefault="00AC0B7E" w:rsidP="00F23B2F">
      <w:pPr>
        <w:pStyle w:val="EndnoteText"/>
        <w:rPr>
          <w:rFonts w:cs="Arial"/>
        </w:rPr>
      </w:pPr>
      <w:hyperlink r:id="rId60" w:history="1">
        <w:r w:rsidR="00B60B7D" w:rsidRPr="00BE5552">
          <w:rPr>
            <w:rStyle w:val="Hyperlink"/>
            <w:rFonts w:cs="Arial"/>
          </w:rPr>
          <w:t>https://www.telethonkids.org.au/globalassets/media/documents/aboriginal-health/measuring_social_and_emotional_wellbeing.pdf</w:t>
        </w:r>
      </w:hyperlink>
      <w:r w:rsidR="00B60B7D" w:rsidRPr="00BE5552">
        <w:rPr>
          <w:rFonts w:cs="Arial"/>
        </w:rPr>
        <w:t xml:space="preserve"> (viewed 30 May 2018).</w:t>
      </w:r>
    </w:p>
  </w:endnote>
  <w:endnote w:id="108">
    <w:p w14:paraId="12B26737" w14:textId="0E281005" w:rsidR="00B60B7D" w:rsidRPr="00BE5552" w:rsidRDefault="00B60B7D" w:rsidP="00CB08F7">
      <w:pPr>
        <w:pStyle w:val="EndnoteText"/>
        <w:rPr>
          <w:rFonts w:cs="Arial"/>
        </w:rPr>
      </w:pPr>
      <w:r w:rsidRPr="00BE5552">
        <w:rPr>
          <w:rStyle w:val="EndnoteReference"/>
          <w:rFonts w:cs="Arial"/>
        </w:rPr>
        <w:endnoteRef/>
      </w:r>
      <w:r w:rsidRPr="00BE5552">
        <w:rPr>
          <w:rFonts w:cs="Arial"/>
        </w:rPr>
        <w:t xml:space="preserve"> Judy Atkinson, Jeff Nelson and Caroline Atkinson, ‘Trauma, transgenerational transfer and effects on community wellbeing’ in Nola Purdie, Pat Dudgeon and Roz Walker (eds), </w:t>
      </w:r>
      <w:r w:rsidRPr="00BE5552">
        <w:rPr>
          <w:rFonts w:cs="Arial"/>
          <w:i/>
        </w:rPr>
        <w:t xml:space="preserve">Working together: Aboriginal and Torres Strait Islander mental health and wellbeing practice and principles </w:t>
      </w:r>
      <w:r w:rsidRPr="00BE5552">
        <w:rPr>
          <w:rFonts w:cs="Arial"/>
        </w:rPr>
        <w:t>(Department of Health and Ageing, 2010) 135-144</w:t>
      </w:r>
      <w:r w:rsidRPr="00BE5552">
        <w:rPr>
          <w:rFonts w:eastAsia="Times New Roman" w:cs="Arial"/>
          <w:lang w:val="en-US"/>
        </w:rPr>
        <w:t xml:space="preserve">; </w:t>
      </w:r>
      <w:r w:rsidRPr="00BE5552">
        <w:rPr>
          <w:rFonts w:cs="Arial"/>
        </w:rPr>
        <w:t xml:space="preserve">Mick Gooda, Australian Human Rights Commission, </w:t>
      </w:r>
      <w:r w:rsidRPr="00BE5552">
        <w:rPr>
          <w:rFonts w:cs="Arial"/>
          <w:i/>
        </w:rPr>
        <w:t>Social Justice and Native Title Report</w:t>
      </w:r>
      <w:r w:rsidRPr="00BE5552">
        <w:rPr>
          <w:rFonts w:cs="Arial"/>
        </w:rPr>
        <w:t xml:space="preserve"> (2015) 164. At </w:t>
      </w:r>
      <w:hyperlink r:id="rId61" w:history="1">
        <w:r w:rsidRPr="00BE5552">
          <w:rPr>
            <w:rStyle w:val="Hyperlink"/>
            <w:rFonts w:cs="Arial"/>
          </w:rPr>
          <w:t>https://www.humanrights.gov.au/sites/default/files/document/publication/SJRNTR2015.pdf</w:t>
        </w:r>
      </w:hyperlink>
      <w:r w:rsidRPr="00BE5552">
        <w:rPr>
          <w:rFonts w:cs="Arial"/>
        </w:rPr>
        <w:t xml:space="preserve"> (viewed 30 May 2018).</w:t>
      </w:r>
    </w:p>
  </w:endnote>
  <w:endnote w:id="109">
    <w:p w14:paraId="6AEFD9CF" w14:textId="22501C72" w:rsidR="00B60B7D" w:rsidRPr="00BE5552" w:rsidRDefault="00B60B7D" w:rsidP="00CB08F7">
      <w:pPr>
        <w:pStyle w:val="EndnoteText"/>
        <w:rPr>
          <w:rFonts w:cs="Arial"/>
        </w:rPr>
      </w:pPr>
      <w:r w:rsidRPr="00BE5552">
        <w:rPr>
          <w:rStyle w:val="EndnoteReference"/>
          <w:rFonts w:cs="Arial"/>
        </w:rPr>
        <w:endnoteRef/>
      </w:r>
      <w:r w:rsidRPr="00BE5552">
        <w:rPr>
          <w:rFonts w:cs="Arial"/>
        </w:rPr>
        <w:t xml:space="preserve"> Judy Atkinson, Jeff Nelson and Caroline Atkinson, ‘Trauma, transgenerational transfer and effects on community wellbeing’ in Nola Purdie, Pat Dudgeon and Roz Walker (eds), </w:t>
      </w:r>
      <w:r w:rsidRPr="00BE5552">
        <w:rPr>
          <w:rFonts w:cs="Arial"/>
          <w:i/>
        </w:rPr>
        <w:t xml:space="preserve">Working together: Aboriginal and Torres Strait Islander mental health and wellbeing practice and principles </w:t>
      </w:r>
      <w:r w:rsidRPr="00BE5552">
        <w:rPr>
          <w:rFonts w:cs="Arial"/>
        </w:rPr>
        <w:t xml:space="preserve">(Department of Health and Ageing, 2010) 135-44. </w:t>
      </w:r>
    </w:p>
  </w:endnote>
  <w:endnote w:id="110">
    <w:p w14:paraId="3258AFC8" w14:textId="15FBF1F6" w:rsidR="00B60B7D" w:rsidRPr="00BE5552" w:rsidRDefault="00B60B7D" w:rsidP="00033292">
      <w:pPr>
        <w:pStyle w:val="EndnoteText"/>
        <w:rPr>
          <w:rFonts w:cs="Arial"/>
        </w:rPr>
      </w:pPr>
      <w:r w:rsidRPr="00BE5552">
        <w:rPr>
          <w:rStyle w:val="EndnoteReference"/>
          <w:rFonts w:cs="Arial"/>
        </w:rPr>
        <w:endnoteRef/>
      </w:r>
      <w:r w:rsidRPr="00BE5552">
        <w:rPr>
          <w:rFonts w:cs="Arial"/>
        </w:rPr>
        <w:t xml:space="preserve"> Steven Gold, ‘Benefits of a Contextual Approach to Understanding and Treating Complex Trauma’ (2008) 9(2) </w:t>
      </w:r>
      <w:r w:rsidRPr="00BE5552">
        <w:rPr>
          <w:rFonts w:cs="Arial"/>
          <w:i/>
        </w:rPr>
        <w:t xml:space="preserve">Journal of Trauma &amp; Dissociation </w:t>
      </w:r>
      <w:r w:rsidRPr="00BE5552">
        <w:rPr>
          <w:rFonts w:cs="Arial"/>
        </w:rPr>
        <w:t xml:space="preserve">269-292; Martin Brokenleg, ‘Transforming Cultural Trauma into Resilience’ (2012) 21(3) </w:t>
      </w:r>
      <w:r w:rsidRPr="00BE5552">
        <w:rPr>
          <w:rFonts w:cs="Arial"/>
          <w:i/>
        </w:rPr>
        <w:t>Journal of Reclaiming Children and Youth</w:t>
      </w:r>
      <w:r w:rsidRPr="00BE5552">
        <w:rPr>
          <w:rFonts w:cs="Arial"/>
        </w:rPr>
        <w:t xml:space="preserve"> 9-13; Tommy Begay, </w:t>
      </w:r>
      <w:r w:rsidRPr="00BE5552">
        <w:rPr>
          <w:rFonts w:cs="Arial"/>
          <w:i/>
        </w:rPr>
        <w:t>Toxic Stress: Linking Historical Trauma to the Contemporary Health of American Indians and Alaska Natives</w:t>
      </w:r>
      <w:r w:rsidRPr="00BE5552">
        <w:rPr>
          <w:rFonts w:cs="Arial"/>
        </w:rPr>
        <w:t>,</w:t>
      </w:r>
      <w:r w:rsidRPr="00BE5552">
        <w:rPr>
          <w:rFonts w:cs="Arial"/>
          <w:i/>
        </w:rPr>
        <w:t xml:space="preserve"> </w:t>
      </w:r>
      <w:r w:rsidRPr="00BE5552">
        <w:rPr>
          <w:rFonts w:cs="Arial"/>
        </w:rPr>
        <w:t xml:space="preserve">Doctoral Dissertation submitted to the University of Arizona (2012). At </w:t>
      </w:r>
      <w:hyperlink r:id="rId62" w:history="1">
        <w:r w:rsidRPr="00BE5552">
          <w:rPr>
            <w:rStyle w:val="Hyperlink"/>
            <w:rFonts w:cs="Arial"/>
          </w:rPr>
          <w:t>http://arizona.openrepository.com/arizona/handle/10150/228498</w:t>
        </w:r>
      </w:hyperlink>
      <w:r w:rsidRPr="00BE5552">
        <w:rPr>
          <w:rFonts w:cs="Arial"/>
        </w:rPr>
        <w:t xml:space="preserve"> (viewed 22 April 2018).</w:t>
      </w:r>
    </w:p>
  </w:endnote>
  <w:endnote w:id="111">
    <w:p w14:paraId="1414C4E3" w14:textId="63D44056" w:rsidR="00B60B7D" w:rsidRPr="00BE5552" w:rsidRDefault="00B60B7D" w:rsidP="00634520">
      <w:pPr>
        <w:pStyle w:val="EndnoteText"/>
        <w:rPr>
          <w:rFonts w:cs="Arial"/>
        </w:rPr>
      </w:pPr>
      <w:r w:rsidRPr="00BE5552">
        <w:rPr>
          <w:rStyle w:val="EndnoteReference"/>
          <w:rFonts w:cs="Arial"/>
        </w:rPr>
        <w:endnoteRef/>
      </w:r>
      <w:r w:rsidRPr="00BE5552">
        <w:rPr>
          <w:rFonts w:cs="Arial"/>
        </w:rPr>
        <w:t xml:space="preserve"> </w:t>
      </w:r>
      <w:r w:rsidRPr="00BE5552">
        <w:rPr>
          <w:rFonts w:cs="Arial"/>
          <w:lang w:val="en-US"/>
        </w:rPr>
        <w:t xml:space="preserve">Claire Tilbury, </w:t>
      </w:r>
      <w:r w:rsidRPr="00BE5552">
        <w:rPr>
          <w:rFonts w:cs="Arial"/>
          <w:i/>
          <w:lang w:val="en-US"/>
        </w:rPr>
        <w:t>Moving to Prevention research report: Intensive family support services for Aboriginal and Torres Strait Islander children</w:t>
      </w:r>
      <w:r w:rsidRPr="00BE5552">
        <w:rPr>
          <w:rFonts w:cs="Arial"/>
          <w:lang w:val="en-US"/>
        </w:rPr>
        <w:t xml:space="preserve"> (2013) 21.</w:t>
      </w:r>
    </w:p>
  </w:endnote>
  <w:endnote w:id="112">
    <w:p w14:paraId="2785545E" w14:textId="0C196B8C" w:rsidR="00B60B7D" w:rsidRPr="00BE5552" w:rsidRDefault="00B60B7D" w:rsidP="007120A4">
      <w:pPr>
        <w:pStyle w:val="EndnoteText"/>
        <w:rPr>
          <w:rFonts w:cs="Arial"/>
          <w:lang w:val="en-US"/>
        </w:rPr>
      </w:pPr>
      <w:r w:rsidRPr="00BE5552">
        <w:rPr>
          <w:rStyle w:val="EndnoteReference"/>
          <w:rFonts w:cs="Arial"/>
        </w:rPr>
        <w:endnoteRef/>
      </w:r>
      <w:r w:rsidRPr="00BE5552">
        <w:rPr>
          <w:rFonts w:cs="Arial"/>
        </w:rPr>
        <w:t xml:space="preserve"> Secretariat of National Aboriginal and Islander Child Care Inc,</w:t>
      </w:r>
      <w:r w:rsidRPr="00BE5552">
        <w:rPr>
          <w:rFonts w:cs="Arial"/>
          <w:i/>
        </w:rPr>
        <w:t xml:space="preserve"> Understanding and Applying the Aboriginal and Torres Strait Islander Child Placement Principle: A Resource for Legislation, Policy, and Program Development</w:t>
      </w:r>
      <w:r w:rsidRPr="00BE5552">
        <w:rPr>
          <w:rFonts w:cs="Arial"/>
        </w:rPr>
        <w:t xml:space="preserve"> (2017) 3-12. At </w:t>
      </w:r>
      <w:hyperlink r:id="rId63" w:history="1">
        <w:r w:rsidRPr="00BE5552">
          <w:rPr>
            <w:rStyle w:val="Hyperlink"/>
            <w:rFonts w:cs="Arial"/>
          </w:rPr>
          <w:t>http://www.snaicc.org.au/wp-content/uploads/2017/07/Understanding_applying_ATSICCP.pdf</w:t>
        </w:r>
      </w:hyperlink>
      <w:r w:rsidRPr="00BE5552">
        <w:rPr>
          <w:rFonts w:cs="Arial"/>
        </w:rPr>
        <w:t xml:space="preserve"> (viewed 21 April 2018).</w:t>
      </w:r>
    </w:p>
  </w:endnote>
  <w:endnote w:id="113">
    <w:p w14:paraId="460A9546" w14:textId="4EEE2D5A" w:rsidR="00B60B7D" w:rsidRPr="00BE5552" w:rsidRDefault="00B60B7D" w:rsidP="00B30CB7">
      <w:pPr>
        <w:pStyle w:val="EndnoteText"/>
        <w:rPr>
          <w:rFonts w:cs="Arial"/>
        </w:rPr>
      </w:pPr>
      <w:r w:rsidRPr="00BE5552">
        <w:rPr>
          <w:rStyle w:val="EndnoteReference"/>
          <w:rFonts w:cs="Arial"/>
        </w:rPr>
        <w:endnoteRef/>
      </w:r>
      <w:r w:rsidRPr="00BE5552">
        <w:rPr>
          <w:rFonts w:cs="Arial"/>
        </w:rPr>
        <w:t xml:space="preserve"> Fiona Arney et al, </w:t>
      </w:r>
      <w:r w:rsidRPr="00BE5552">
        <w:rPr>
          <w:rFonts w:cs="Arial"/>
          <w:i/>
        </w:rPr>
        <w:t>Enhancing the implementation of the Aboriginal and Torres Strait Islander Child Placement Principle: Policy and practice considerations</w:t>
      </w:r>
      <w:r w:rsidRPr="00BE5552">
        <w:rPr>
          <w:rFonts w:cs="Arial"/>
        </w:rPr>
        <w:t xml:space="preserve"> (2015), CFCA Paper No. 34. At </w:t>
      </w:r>
      <w:hyperlink r:id="rId64" w:history="1">
        <w:r w:rsidRPr="00BE5552">
          <w:rPr>
            <w:rStyle w:val="Hyperlink"/>
            <w:rFonts w:cs="Arial"/>
          </w:rPr>
          <w:t>https://aifs.gov.au/cfca/publications/enhancing-implementation-aboriginal-and-torres-strait-islander-child/measuring</w:t>
        </w:r>
      </w:hyperlink>
      <w:r w:rsidRPr="00BE5552">
        <w:rPr>
          <w:rFonts w:cs="Arial"/>
        </w:rPr>
        <w:t xml:space="preserve"> (viewed 21 May 2018); Andrew Jackomos, ‘Linking our past with our future: How cultural rights can help shape identity and build resilience in Koori kids’ (2014) 8(17) </w:t>
      </w:r>
      <w:r w:rsidRPr="00BE5552">
        <w:rPr>
          <w:rFonts w:cs="Arial"/>
          <w:i/>
        </w:rPr>
        <w:t>Indigenous Law Bulletin</w:t>
      </w:r>
      <w:r w:rsidRPr="00BE5552">
        <w:rPr>
          <w:rFonts w:cs="Arial"/>
        </w:rPr>
        <w:t xml:space="preserve"> 22-23. At </w:t>
      </w:r>
      <w:hyperlink r:id="rId65" w:history="1">
        <w:r w:rsidRPr="00BE5552">
          <w:rPr>
            <w:rStyle w:val="Hyperlink"/>
            <w:rFonts w:cs="Arial"/>
          </w:rPr>
          <w:t>http://www.austlii.edu.au/au/journals/ILB/2015/17.pdf</w:t>
        </w:r>
      </w:hyperlink>
      <w:r w:rsidRPr="00BE5552">
        <w:rPr>
          <w:rFonts w:cs="Arial"/>
        </w:rPr>
        <w:t xml:space="preserve"> (viewed 24 May 2018).</w:t>
      </w:r>
    </w:p>
  </w:endnote>
  <w:endnote w:id="114">
    <w:p w14:paraId="3FD17C8F" w14:textId="66C4EF2D" w:rsidR="00B60B7D" w:rsidRPr="00BE5552" w:rsidRDefault="00B60B7D">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 xml:space="preserve">Review of the Adoption Act 1984: Report </w:t>
      </w:r>
      <w:r w:rsidRPr="00BE5552">
        <w:rPr>
          <w:rFonts w:cs="Arial"/>
        </w:rPr>
        <w:t xml:space="preserve">(2017) 122 [7.6]. At </w:t>
      </w:r>
      <w:hyperlink r:id="rId66" w:history="1">
        <w:r w:rsidRPr="00BE5552">
          <w:rPr>
            <w:rFonts w:cs="Arial"/>
            <w:color w:val="0000FF"/>
            <w:u w:val="single"/>
          </w:rPr>
          <w:t>http://lawreform.vic.gov.au/sites/default/files/VLRC_Adoption_Report_forweb.pdf</w:t>
        </w:r>
      </w:hyperlink>
      <w:r w:rsidRPr="00BE5552">
        <w:rPr>
          <w:rFonts w:cs="Arial"/>
        </w:rPr>
        <w:t xml:space="preserve"> (viewed 30 May 2018).</w:t>
      </w:r>
    </w:p>
  </w:endnote>
  <w:endnote w:id="115">
    <w:p w14:paraId="21A80E6E" w14:textId="0176DA29" w:rsidR="00B60B7D" w:rsidRPr="001B0072" w:rsidRDefault="00B60B7D" w:rsidP="00B30CB7">
      <w:pPr>
        <w:pStyle w:val="EndnoteText"/>
      </w:pPr>
      <w:r w:rsidRPr="0044717C">
        <w:rPr>
          <w:rStyle w:val="EndnoteReference"/>
          <w:rFonts w:cs="Arial"/>
        </w:rPr>
        <w:endnoteRef/>
      </w:r>
      <w:r w:rsidRPr="0044717C">
        <w:rPr>
          <w:rFonts w:cs="Arial"/>
        </w:rPr>
        <w:t xml:space="preserve"> </w:t>
      </w:r>
      <w:r>
        <w:t xml:space="preserve">Australian Institute of Health and Welfare, </w:t>
      </w:r>
      <w:r>
        <w:rPr>
          <w:i/>
          <w:iCs/>
        </w:rPr>
        <w:t>Child protection Australia 2015-2016</w:t>
      </w:r>
      <w:r>
        <w:t xml:space="preserve"> (2017) 52-53. At </w:t>
      </w:r>
      <w:hyperlink r:id="rId67" w:history="1">
        <w:r>
          <w:rPr>
            <w:rStyle w:val="Hyperlink"/>
          </w:rPr>
          <w:t>https://www.aihw.gov.au/getmedia/bce377ec-1b76-4cc5-87d9-d0541fca586c/20479.pdf.aspx?inline=true</w:t>
        </w:r>
      </w:hyperlink>
      <w:r>
        <w:t xml:space="preserve"> (viewed 7 June 2018).</w:t>
      </w:r>
    </w:p>
  </w:endnote>
  <w:endnote w:id="116">
    <w:p w14:paraId="26A29494" w14:textId="48D2DFBA" w:rsidR="00B60B7D" w:rsidRPr="00BE5552" w:rsidRDefault="00B60B7D" w:rsidP="005821BB">
      <w:pPr>
        <w:pStyle w:val="EndnoteText"/>
        <w:rPr>
          <w:rFonts w:cs="Arial"/>
          <w:lang w:val="en-US"/>
        </w:rPr>
      </w:pPr>
      <w:r w:rsidRPr="00BE5552">
        <w:rPr>
          <w:rStyle w:val="EndnoteReference"/>
          <w:rFonts w:cs="Arial"/>
        </w:rPr>
        <w:endnoteRef/>
      </w:r>
      <w:r w:rsidRPr="00BE5552">
        <w:rPr>
          <w:rFonts w:cs="Arial"/>
        </w:rPr>
        <w:t xml:space="preserve"> Fiona Arney et al, </w:t>
      </w:r>
      <w:r w:rsidRPr="00BE5552">
        <w:rPr>
          <w:rFonts w:cs="Arial"/>
          <w:i/>
        </w:rPr>
        <w:t>Enhancing the implementation of the Aboriginal and Torres Strait Islander Child Placement Principle: Policy and practice considerations</w:t>
      </w:r>
      <w:r w:rsidRPr="00BE5552">
        <w:rPr>
          <w:rFonts w:cs="Arial"/>
        </w:rPr>
        <w:t xml:space="preserve"> (2015), CFCA Paper No. 34. At </w:t>
      </w:r>
      <w:hyperlink r:id="rId68" w:history="1">
        <w:r w:rsidRPr="00BE5552">
          <w:rPr>
            <w:rStyle w:val="Hyperlink"/>
            <w:rFonts w:cs="Arial"/>
          </w:rPr>
          <w:t>https://aifs.gov.au/cfca/publications/enhancing-implementation-aboriginal-and-torres-strait-islander-child/strategies</w:t>
        </w:r>
      </w:hyperlink>
      <w:r w:rsidRPr="00BE5552">
        <w:rPr>
          <w:rFonts w:cs="Arial"/>
        </w:rPr>
        <w:t xml:space="preserve"> (viewed 26 April 2018); Human Rights and Equal Opportunity Commission, </w:t>
      </w:r>
      <w:r w:rsidRPr="00BE5552">
        <w:rPr>
          <w:rFonts w:cs="Arial"/>
          <w:i/>
        </w:rPr>
        <w:t xml:space="preserve">Bringing them Home: Report of the National Inquiry into the Separation of Aboriginal and Torres Strait Islander Children from their Families </w:t>
      </w:r>
      <w:r w:rsidRPr="00BE5552">
        <w:rPr>
          <w:rFonts w:cs="Arial"/>
        </w:rPr>
        <w:t xml:space="preserve">(1997) Ch 22. At </w:t>
      </w:r>
      <w:hyperlink r:id="rId69" w:history="1">
        <w:r w:rsidRPr="00BE5552">
          <w:rPr>
            <w:rStyle w:val="Hyperlink"/>
            <w:rFonts w:cs="Arial"/>
          </w:rPr>
          <w:t>https://www.humanrights.gov.au/publications/bringing-them-home-chapter-22</w:t>
        </w:r>
      </w:hyperlink>
      <w:r w:rsidRPr="00BE5552">
        <w:rPr>
          <w:rFonts w:cs="Arial"/>
        </w:rPr>
        <w:t xml:space="preserve"> (viewed 30 May 2018).</w:t>
      </w:r>
    </w:p>
  </w:endnote>
  <w:endnote w:id="117">
    <w:p w14:paraId="6A919178" w14:textId="2ED3C5ED" w:rsidR="00B60B7D" w:rsidRPr="00BE5552" w:rsidRDefault="00B60B7D" w:rsidP="00F614DF">
      <w:pPr>
        <w:pStyle w:val="EndnoteText"/>
        <w:rPr>
          <w:rFonts w:cs="Arial"/>
        </w:rPr>
      </w:pPr>
      <w:r w:rsidRPr="00BE5552">
        <w:rPr>
          <w:rStyle w:val="EndnoteReference"/>
          <w:rFonts w:cs="Arial"/>
        </w:rPr>
        <w:endnoteRef/>
      </w:r>
      <w:r w:rsidRPr="00BE5552">
        <w:rPr>
          <w:rFonts w:cs="Arial"/>
        </w:rPr>
        <w:t xml:space="preserve"> Aboriginal Child, Family and Community Care State Secretariat, </w:t>
      </w:r>
      <w:r w:rsidRPr="00BE5552">
        <w:rPr>
          <w:rFonts w:cs="Arial"/>
          <w:i/>
        </w:rPr>
        <w:t>Guardianship orders for Aboriginal children and young people</w:t>
      </w:r>
      <w:r w:rsidRPr="00BE5552">
        <w:rPr>
          <w:rFonts w:cs="Arial"/>
        </w:rPr>
        <w:t xml:space="preserve">, 6. At </w:t>
      </w:r>
      <w:hyperlink r:id="rId70" w:history="1">
        <w:r w:rsidRPr="00BE5552">
          <w:rPr>
            <w:rStyle w:val="Hyperlink"/>
            <w:rFonts w:cs="Arial"/>
          </w:rPr>
          <w:t>https://www.absec.org.au/images/downloads/Guardianship-Orders-Position-Paper-November-2015.pdf</w:t>
        </w:r>
      </w:hyperlink>
      <w:r w:rsidRPr="00BE5552">
        <w:rPr>
          <w:rFonts w:cs="Arial"/>
        </w:rPr>
        <w:t xml:space="preserve"> (viewed 27 April 2018).</w:t>
      </w:r>
    </w:p>
  </w:endnote>
  <w:endnote w:id="118">
    <w:p w14:paraId="58F36CE5" w14:textId="6CEF6CA2" w:rsidR="00B60B7D" w:rsidRPr="00BE5552" w:rsidRDefault="00B60B7D" w:rsidP="00066AAD">
      <w:pPr>
        <w:pStyle w:val="EndnoteText"/>
        <w:rPr>
          <w:rFonts w:cs="Arial"/>
        </w:rPr>
      </w:pPr>
      <w:r w:rsidRPr="00BE5552">
        <w:rPr>
          <w:rStyle w:val="EndnoteReference"/>
          <w:rFonts w:cs="Arial"/>
        </w:rPr>
        <w:endnoteRef/>
      </w:r>
      <w:r w:rsidRPr="00BE5552">
        <w:rPr>
          <w:rFonts w:cs="Arial"/>
        </w:rPr>
        <w:t xml:space="preserve"> Government of South Australia, Child Protection Systems Royal Commissio</w:t>
      </w:r>
      <w:r w:rsidRPr="00BE5552">
        <w:rPr>
          <w:rFonts w:cs="Arial"/>
          <w:iCs/>
        </w:rPr>
        <w:t>n</w:t>
      </w:r>
      <w:r w:rsidRPr="00BE5552">
        <w:rPr>
          <w:rFonts w:cs="Arial"/>
          <w:i/>
          <w:iCs/>
        </w:rPr>
        <w:t>, The life they deserve: Child Protection Systems Royal Commission Report</w:t>
      </w:r>
      <w:r w:rsidRPr="00BE5552">
        <w:rPr>
          <w:rFonts w:cs="Arial"/>
        </w:rPr>
        <w:t xml:space="preserve"> (2016) 369. At </w:t>
      </w:r>
      <w:hyperlink r:id="rId71" w:history="1">
        <w:r w:rsidRPr="00BE5552">
          <w:rPr>
            <w:rStyle w:val="Hyperlink"/>
            <w:rFonts w:cs="Arial"/>
          </w:rPr>
          <w:t>https://www.agd.sa.gov.au/projects-and-consultations/projects-archive/child-protection-systems-royal-commission</w:t>
        </w:r>
      </w:hyperlink>
      <w:r w:rsidRPr="00BE5552">
        <w:rPr>
          <w:rFonts w:cs="Arial"/>
        </w:rPr>
        <w:t xml:space="preserve"> (viewed 7 June 2018).</w:t>
      </w:r>
    </w:p>
  </w:endnote>
  <w:endnote w:id="119">
    <w:p w14:paraId="65687FF0" w14:textId="2FCB826B" w:rsidR="00B60B7D" w:rsidRPr="00BE5552" w:rsidRDefault="00B60B7D" w:rsidP="00FF460C">
      <w:pPr>
        <w:pStyle w:val="EndnoteText"/>
        <w:rPr>
          <w:rFonts w:cs="Arial"/>
        </w:rPr>
      </w:pPr>
      <w:r w:rsidRPr="00BE5552">
        <w:rPr>
          <w:rStyle w:val="EndnoteReference"/>
          <w:rFonts w:cs="Arial"/>
        </w:rPr>
        <w:endnoteRef/>
      </w:r>
      <w:r w:rsidRPr="00BE5552">
        <w:rPr>
          <w:rFonts w:cs="Arial"/>
        </w:rPr>
        <w:t xml:space="preserve"> June Oscar, ‘Bringing them Home 20</w:t>
      </w:r>
      <w:r w:rsidRPr="00BE5552">
        <w:rPr>
          <w:rFonts w:cs="Arial"/>
          <w:vertAlign w:val="superscript"/>
        </w:rPr>
        <w:t>th</w:t>
      </w:r>
      <w:r w:rsidRPr="00BE5552">
        <w:rPr>
          <w:rFonts w:cs="Arial"/>
        </w:rPr>
        <w:t xml:space="preserve"> anniversary’ (Speech delivered at Bringing them Home 20</w:t>
      </w:r>
      <w:r w:rsidRPr="00BE5552">
        <w:rPr>
          <w:rFonts w:cs="Arial"/>
          <w:vertAlign w:val="superscript"/>
        </w:rPr>
        <w:t>th</w:t>
      </w:r>
      <w:r w:rsidRPr="00BE5552">
        <w:rPr>
          <w:rFonts w:cs="Arial"/>
        </w:rPr>
        <w:t xml:space="preserve"> anniversary event, Australian Museum, 21 November 2017).</w:t>
      </w:r>
    </w:p>
  </w:endnote>
  <w:endnote w:id="120">
    <w:p w14:paraId="75010735" w14:textId="5D16799B" w:rsidR="00B60B7D" w:rsidRPr="00BE5552" w:rsidRDefault="00B60B7D" w:rsidP="00FF460C">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recommendation 43a. At </w:t>
      </w:r>
      <w:hyperlink r:id="rId72" w:history="1">
        <w:r w:rsidRPr="00BE5552">
          <w:rPr>
            <w:rStyle w:val="Hyperlink"/>
            <w:rFonts w:cs="Arial"/>
          </w:rPr>
          <w:t>https://www.humanrights.gov.au/publications/bringing-them-home-appendix-9-recommendations</w:t>
        </w:r>
      </w:hyperlink>
      <w:r w:rsidRPr="00BE5552">
        <w:rPr>
          <w:rFonts w:cs="Arial"/>
        </w:rPr>
        <w:t xml:space="preserve"> (viewed 30 May 2018).</w:t>
      </w:r>
    </w:p>
  </w:endnote>
  <w:endnote w:id="121">
    <w:p w14:paraId="437E781C" w14:textId="61BB96DF" w:rsidR="00B60B7D" w:rsidRPr="00BE5552" w:rsidRDefault="00B60B7D" w:rsidP="00D646DD">
      <w:pPr>
        <w:pStyle w:val="EndnoteText"/>
        <w:rPr>
          <w:rFonts w:cs="Arial"/>
        </w:rPr>
      </w:pPr>
      <w:r w:rsidRPr="00BE5552">
        <w:rPr>
          <w:rStyle w:val="EndnoteReference"/>
          <w:rFonts w:cs="Arial"/>
        </w:rPr>
        <w:endnoteRef/>
      </w:r>
      <w:r>
        <w:rPr>
          <w:rFonts w:cs="Arial"/>
          <w:i/>
        </w:rPr>
        <w:t xml:space="preserve"> </w:t>
      </w:r>
      <w:r w:rsidRPr="00BE5552">
        <w:rPr>
          <w:rFonts w:cs="Arial"/>
          <w:i/>
        </w:rPr>
        <w:t>United Nations Declaration on the Rights of Indigenous Peoples</w:t>
      </w:r>
      <w:r w:rsidRPr="00BE5552">
        <w:rPr>
          <w:rFonts w:cs="Arial"/>
        </w:rPr>
        <w:t xml:space="preserve">, </w:t>
      </w:r>
      <w:r w:rsidRPr="00BE5552">
        <w:rPr>
          <w:rFonts w:eastAsia="Times New Roman" w:cs="Arial"/>
        </w:rPr>
        <w:t>GA Res 61/295, UN GAOR, 61</w:t>
      </w:r>
      <w:r w:rsidRPr="00BE5552">
        <w:rPr>
          <w:rFonts w:eastAsia="Times New Roman" w:cs="Arial"/>
          <w:vertAlign w:val="superscript"/>
        </w:rPr>
        <w:t>st</w:t>
      </w:r>
      <w:r w:rsidRPr="00BE5552">
        <w:rPr>
          <w:rFonts w:eastAsia="Times New Roman" w:cs="Arial"/>
        </w:rPr>
        <w:t xml:space="preserve"> session, 107</w:t>
      </w:r>
      <w:r w:rsidRPr="00BE5552">
        <w:rPr>
          <w:rFonts w:eastAsia="Times New Roman" w:cs="Arial"/>
          <w:vertAlign w:val="superscript"/>
        </w:rPr>
        <w:t>th</w:t>
      </w:r>
      <w:r w:rsidRPr="00BE5552">
        <w:rPr>
          <w:rFonts w:eastAsia="Times New Roman" w:cs="Arial"/>
        </w:rPr>
        <w:t xml:space="preserve"> plenary meeting, Supplement No 49, UN Doc A/61/295 (13 September 2007) arts 18, 29. </w:t>
      </w:r>
    </w:p>
  </w:endnote>
  <w:endnote w:id="122">
    <w:p w14:paraId="1DC4E4E8" w14:textId="0F593D4D" w:rsidR="00B60B7D" w:rsidRPr="00BE5552" w:rsidRDefault="00B60B7D" w:rsidP="00763E47">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recommendation 52. At </w:t>
      </w:r>
      <w:hyperlink r:id="rId73" w:history="1">
        <w:r w:rsidRPr="00BE5552">
          <w:rPr>
            <w:rStyle w:val="Hyperlink"/>
            <w:rFonts w:cs="Arial"/>
          </w:rPr>
          <w:t>https://www.humanrights.gov.au/publications/bringing-them-home-appendix-9-recommendations</w:t>
        </w:r>
      </w:hyperlink>
      <w:r w:rsidRPr="00BE5552">
        <w:rPr>
          <w:rFonts w:cs="Arial"/>
        </w:rPr>
        <w:t xml:space="preserve"> (viewed 7 June 2018).</w:t>
      </w:r>
    </w:p>
  </w:endnote>
  <w:endnote w:id="123">
    <w:p w14:paraId="756F756D" w14:textId="6077C039" w:rsidR="00B60B7D" w:rsidRPr="00BE5552" w:rsidRDefault="00B60B7D" w:rsidP="00F62603">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recommendation 46a. At </w:t>
      </w:r>
      <w:hyperlink r:id="rId74" w:history="1">
        <w:r w:rsidRPr="00BE5552">
          <w:rPr>
            <w:rStyle w:val="Hyperlink"/>
            <w:rFonts w:cs="Arial"/>
          </w:rPr>
          <w:t>https://www.humanrights.gov.au/publications/bringing-them-home-appendix-9-recommendations</w:t>
        </w:r>
      </w:hyperlink>
      <w:r w:rsidRPr="00BE5552">
        <w:rPr>
          <w:rFonts w:cs="Arial"/>
        </w:rPr>
        <w:t xml:space="preserve"> (viewed 30 May 2018).</w:t>
      </w:r>
    </w:p>
  </w:endnote>
  <w:endnote w:id="124">
    <w:p w14:paraId="4FF8DFA4" w14:textId="648DB0F8" w:rsidR="00B60B7D" w:rsidRPr="00BE5552" w:rsidRDefault="00B60B7D" w:rsidP="00F62603">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recommendation 46b. At </w:t>
      </w:r>
      <w:hyperlink r:id="rId75" w:history="1">
        <w:r w:rsidRPr="00BE5552">
          <w:rPr>
            <w:rStyle w:val="Hyperlink"/>
            <w:rFonts w:cs="Arial"/>
          </w:rPr>
          <w:t>https://www.humanrights.gov.au/publications/bringing-them-home-appendix-9-recommendations</w:t>
        </w:r>
      </w:hyperlink>
      <w:r w:rsidRPr="00BE5552">
        <w:rPr>
          <w:rFonts w:cs="Arial"/>
        </w:rPr>
        <w:t xml:space="preserve"> (viewed 30 May 2018).</w:t>
      </w:r>
    </w:p>
  </w:endnote>
  <w:endnote w:id="125">
    <w:p w14:paraId="19A878F6" w14:textId="77777777" w:rsidR="00B60B7D" w:rsidRPr="00BE5552" w:rsidRDefault="00B60B7D" w:rsidP="00F62603">
      <w:pPr>
        <w:pStyle w:val="EndnoteText"/>
        <w:rPr>
          <w:rFonts w:cs="Arial"/>
        </w:rPr>
      </w:pPr>
      <w:r w:rsidRPr="00BE5552">
        <w:rPr>
          <w:rStyle w:val="EndnoteReference"/>
          <w:rFonts w:cs="Arial"/>
        </w:rPr>
        <w:endnoteRef/>
      </w:r>
      <w:r w:rsidRPr="00BE5552">
        <w:rPr>
          <w:rFonts w:cs="Arial"/>
        </w:rPr>
        <w:t xml:space="preserve"> Human Rights and Equal Opportunity Commission, </w:t>
      </w:r>
      <w:r w:rsidRPr="00BE5552">
        <w:rPr>
          <w:rFonts w:cs="Arial"/>
          <w:i/>
        </w:rPr>
        <w:t>Bringing them Home: Report of the National Inquiry into the Separation of Aboriginal and Torres Strait Islander Children from their Families</w:t>
      </w:r>
      <w:r w:rsidRPr="00BE5552">
        <w:rPr>
          <w:rFonts w:cs="Arial"/>
        </w:rPr>
        <w:t xml:space="preserve"> (1997), recommendation 51a. At </w:t>
      </w:r>
      <w:hyperlink r:id="rId76" w:history="1">
        <w:r w:rsidRPr="00BE5552">
          <w:rPr>
            <w:rStyle w:val="Hyperlink"/>
            <w:rFonts w:cs="Arial"/>
          </w:rPr>
          <w:t>https://www.humanrights.gov.au/publications/bringing-them-home-appendix-9-recommendations</w:t>
        </w:r>
      </w:hyperlink>
      <w:r w:rsidRPr="00BE5552">
        <w:rPr>
          <w:rFonts w:cs="Arial"/>
        </w:rPr>
        <w:t xml:space="preserve"> (viewed 30 May 2018).</w:t>
      </w:r>
    </w:p>
  </w:endnote>
  <w:endnote w:id="126">
    <w:p w14:paraId="7EA26C5D" w14:textId="370BEE30" w:rsidR="00B60B7D" w:rsidRPr="00BE5552" w:rsidRDefault="00B60B7D">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Review of the Adoption Act 1984: Consultation Paper</w:t>
      </w:r>
      <w:r w:rsidRPr="00BE5552">
        <w:rPr>
          <w:rFonts w:cs="Arial"/>
        </w:rPr>
        <w:t xml:space="preserve"> (2016) Ch 2. At </w:t>
      </w:r>
      <w:hyperlink r:id="rId77" w:history="1">
        <w:r w:rsidRPr="00BE5552">
          <w:rPr>
            <w:rStyle w:val="Hyperlink"/>
            <w:rFonts w:cs="Arial"/>
          </w:rPr>
          <w:t>http://lawreform.vic.gov.au/sites/default/files/VLRC_Adoption_Act_Consultation_Paper-Web_final.pdf</w:t>
        </w:r>
      </w:hyperlink>
      <w:r w:rsidRPr="00BE5552">
        <w:rPr>
          <w:rFonts w:cs="Arial"/>
        </w:rPr>
        <w:t xml:space="preserve"> (viewed 10 May 2018).</w:t>
      </w:r>
    </w:p>
  </w:endnote>
  <w:endnote w:id="127">
    <w:p w14:paraId="7F2CDB3A" w14:textId="17520D3E" w:rsidR="00B60B7D" w:rsidRPr="00BE5552" w:rsidRDefault="00B60B7D">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Review of the Adoption Act 1984: Consultation Paper</w:t>
      </w:r>
      <w:r w:rsidRPr="00BE5552">
        <w:rPr>
          <w:rFonts w:cs="Arial"/>
        </w:rPr>
        <w:t xml:space="preserve"> (2016) 24. At </w:t>
      </w:r>
      <w:hyperlink r:id="rId78" w:history="1">
        <w:r w:rsidRPr="00BE5552">
          <w:rPr>
            <w:rStyle w:val="Hyperlink"/>
            <w:rFonts w:cs="Arial"/>
          </w:rPr>
          <w:t>http://lawreform.vic.gov.au/sites/default/files/VLRC_Adoption_Act_Consultation_Paper-Web_final.pdf</w:t>
        </w:r>
      </w:hyperlink>
      <w:r w:rsidRPr="00BE5552">
        <w:rPr>
          <w:rFonts w:cs="Arial"/>
        </w:rPr>
        <w:t xml:space="preserve"> (viewed 10 May 2018).</w:t>
      </w:r>
    </w:p>
  </w:endnote>
  <w:endnote w:id="128">
    <w:p w14:paraId="20AEC948" w14:textId="3CC1006C" w:rsidR="00B60B7D" w:rsidRPr="00BE5552" w:rsidRDefault="00B60B7D">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Review of the Adoption Act 1984: Consultation Paper</w:t>
      </w:r>
      <w:r w:rsidRPr="00BE5552">
        <w:rPr>
          <w:rFonts w:cs="Arial"/>
        </w:rPr>
        <w:t xml:space="preserve"> (2016) 24. At </w:t>
      </w:r>
      <w:hyperlink r:id="rId79" w:history="1">
        <w:r w:rsidRPr="00BE5552">
          <w:rPr>
            <w:rStyle w:val="Hyperlink"/>
            <w:rFonts w:cs="Arial"/>
          </w:rPr>
          <w:t>http://lawreform.vic.gov.au/sites/default/files/VLRC_Adoption_Act_Consultation_Paper-Web_final.pdf</w:t>
        </w:r>
      </w:hyperlink>
      <w:r w:rsidRPr="00BE5552">
        <w:rPr>
          <w:rFonts w:cs="Arial"/>
        </w:rPr>
        <w:t xml:space="preserve"> (viewed 10 May 2018).</w:t>
      </w:r>
    </w:p>
  </w:endnote>
  <w:endnote w:id="129">
    <w:p w14:paraId="36498504" w14:textId="6C463919" w:rsidR="00B60B7D" w:rsidRPr="00BE5552" w:rsidRDefault="00B60B7D">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Review of the Adoption Act 1984: Consultation Paper</w:t>
      </w:r>
      <w:r w:rsidRPr="00BE5552">
        <w:rPr>
          <w:rFonts w:cs="Arial"/>
        </w:rPr>
        <w:t xml:space="preserve"> (2016) 24. At </w:t>
      </w:r>
      <w:hyperlink r:id="rId80" w:history="1">
        <w:r w:rsidRPr="00BE5552">
          <w:rPr>
            <w:rStyle w:val="Hyperlink"/>
            <w:rFonts w:cs="Arial"/>
          </w:rPr>
          <w:t>http://lawreform.vic.gov.au/sites/default/files/VLRC_Adoption_Act_Consultation_Paper-Web_final.pdf</w:t>
        </w:r>
      </w:hyperlink>
      <w:r w:rsidRPr="00BE5552">
        <w:rPr>
          <w:rFonts w:cs="Arial"/>
        </w:rPr>
        <w:t xml:space="preserve"> (viewed 10 May 2018).</w:t>
      </w:r>
    </w:p>
  </w:endnote>
  <w:endnote w:id="130">
    <w:p w14:paraId="4669A067" w14:textId="60718090" w:rsidR="00B60B7D" w:rsidRPr="00BE5552" w:rsidRDefault="00B60B7D" w:rsidP="00DB507A">
      <w:pPr>
        <w:pStyle w:val="EndnoteText"/>
        <w:rPr>
          <w:rFonts w:cs="Arial"/>
        </w:rPr>
      </w:pPr>
      <w:r w:rsidRPr="00BE5552">
        <w:rPr>
          <w:rStyle w:val="EndnoteReference"/>
          <w:rFonts w:cs="Arial"/>
        </w:rPr>
        <w:endnoteRef/>
      </w:r>
      <w:r w:rsidRPr="00BE5552">
        <w:rPr>
          <w:rFonts w:cs="Arial"/>
        </w:rPr>
        <w:t xml:space="preserve"> Victorian Law Reform Commission, </w:t>
      </w:r>
      <w:r w:rsidRPr="00BE5552">
        <w:rPr>
          <w:rFonts w:cs="Arial"/>
          <w:i/>
        </w:rPr>
        <w:t xml:space="preserve">Review of the Adoption Act 1984: Consultation Paper </w:t>
      </w:r>
      <w:r w:rsidRPr="00BE5552">
        <w:rPr>
          <w:rFonts w:cs="Arial"/>
        </w:rPr>
        <w:t xml:space="preserve">(2016) 24. At </w:t>
      </w:r>
      <w:hyperlink r:id="rId81" w:history="1">
        <w:r w:rsidRPr="00BE5552">
          <w:rPr>
            <w:rStyle w:val="Hyperlink"/>
            <w:rFonts w:cs="Arial"/>
          </w:rPr>
          <w:t>http://lawreform.vic.gov.au/sites/default/files/VLRC_Adoption_Act_Consultation_Paper-Web_final.pdf</w:t>
        </w:r>
      </w:hyperlink>
      <w:r w:rsidRPr="00BE5552">
        <w:rPr>
          <w:rFonts w:cs="Arial"/>
        </w:rPr>
        <w:t xml:space="preserve"> (viewed 10 May 2018).</w:t>
      </w:r>
    </w:p>
  </w:endnote>
  <w:endnote w:id="131">
    <w:p w14:paraId="66B1339D" w14:textId="6B5433BE" w:rsidR="00B60B7D" w:rsidRPr="00BE5552" w:rsidRDefault="00B60B7D">
      <w:pPr>
        <w:pStyle w:val="EndnoteText"/>
        <w:rPr>
          <w:rFonts w:cs="Arial"/>
        </w:rPr>
      </w:pPr>
      <w:r w:rsidRPr="00BE5552">
        <w:rPr>
          <w:rStyle w:val="EndnoteReference"/>
          <w:rFonts w:cs="Arial"/>
        </w:rPr>
        <w:endnoteRef/>
      </w:r>
      <w:r w:rsidRPr="00BE5552">
        <w:rPr>
          <w:rFonts w:cs="Arial"/>
        </w:rPr>
        <w:t xml:space="preserve"> Department of Families, Housing, Community Services and Indigenous Affairs together with the National Framework Implementation Working Group, </w:t>
      </w:r>
      <w:r w:rsidRPr="00BE5552">
        <w:rPr>
          <w:rFonts w:cs="Arial"/>
          <w:i/>
        </w:rPr>
        <w:t xml:space="preserve">An outline of National Standards for out-of-home care </w:t>
      </w:r>
      <w:r w:rsidRPr="00BE5552">
        <w:rPr>
          <w:rFonts w:cs="Arial"/>
        </w:rPr>
        <w:t xml:space="preserve">(2011). At </w:t>
      </w:r>
      <w:hyperlink r:id="rId82" w:history="1">
        <w:r w:rsidRPr="00BE5552">
          <w:rPr>
            <w:rStyle w:val="Hyperlink"/>
            <w:rFonts w:cs="Arial"/>
          </w:rPr>
          <w:t>https://www.dss.gov.au/sites/default/files/documents/pac_national_standard.pdf</w:t>
        </w:r>
      </w:hyperlink>
      <w:r w:rsidRPr="00BE5552">
        <w:rPr>
          <w:rFonts w:cs="Arial"/>
        </w:rPr>
        <w:t xml:space="preserve"> (viewed 26 April 2018).</w:t>
      </w:r>
    </w:p>
  </w:endnote>
  <w:endnote w:id="132">
    <w:p w14:paraId="05A040FD" w14:textId="71C1555F" w:rsidR="00B60B7D" w:rsidRPr="00BE5552" w:rsidRDefault="00B60B7D" w:rsidP="00D63A2E">
      <w:pPr>
        <w:pStyle w:val="EndnoteText"/>
        <w:rPr>
          <w:rFonts w:cs="Arial"/>
        </w:rPr>
      </w:pPr>
      <w:r w:rsidRPr="00BE5552">
        <w:rPr>
          <w:rStyle w:val="EndnoteReference"/>
          <w:rFonts w:cs="Arial"/>
        </w:rPr>
        <w:endnoteRef/>
      </w:r>
      <w:r w:rsidRPr="00BE5552">
        <w:rPr>
          <w:rFonts w:cs="Arial"/>
        </w:rPr>
        <w:t xml:space="preserve"> Department of Families, Housing, Community Services and Indigenous Affairs together with the National Framework Implementation Working Group, </w:t>
      </w:r>
      <w:r w:rsidRPr="00BE5552">
        <w:rPr>
          <w:rFonts w:cs="Arial"/>
          <w:i/>
        </w:rPr>
        <w:t xml:space="preserve">An outline of National Standards for out-of-home care </w:t>
      </w:r>
      <w:r w:rsidRPr="00BE5552">
        <w:rPr>
          <w:rFonts w:cs="Arial"/>
        </w:rPr>
        <w:t xml:space="preserve">(2011) 6. At </w:t>
      </w:r>
      <w:hyperlink r:id="rId83" w:history="1">
        <w:r w:rsidRPr="00BE5552">
          <w:rPr>
            <w:rStyle w:val="Hyperlink"/>
            <w:rFonts w:cs="Arial"/>
          </w:rPr>
          <w:t>https://www.dss.gov.au/sites/default/files/documents/pac_national_standard.pdf</w:t>
        </w:r>
      </w:hyperlink>
      <w:r w:rsidRPr="00BE5552">
        <w:rPr>
          <w:rFonts w:cs="Arial"/>
        </w:rPr>
        <w:t xml:space="preserve"> (viewed 26 April 2018).</w:t>
      </w:r>
    </w:p>
    <w:p w14:paraId="704ADDC7" w14:textId="5526810F" w:rsidR="00B60B7D" w:rsidRPr="000B4B1F" w:rsidRDefault="00B60B7D" w:rsidP="00D63A2E">
      <w:pPr>
        <w:pStyle w:val="EndnoteText"/>
        <w:rPr>
          <w:rFonts w:cs="Arial"/>
        </w:rPr>
      </w:pPr>
    </w:p>
    <w:p w14:paraId="4131FB9C" w14:textId="2DA4635B" w:rsidR="00B60B7D" w:rsidRPr="000B4B1F" w:rsidRDefault="00B60B7D" w:rsidP="00D63A2E">
      <w:pPr>
        <w:pStyle w:val="EndnoteText"/>
        <w:rPr>
          <w:rFonts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heSans-B3Light">
    <w:altName w:val="Calibri"/>
    <w:panose1 w:val="00000000000000000000"/>
    <w:charset w:val="00"/>
    <w:family w:val="auto"/>
    <w:notTrueType/>
    <w:pitch w:val="default"/>
    <w:sig w:usb0="00000003" w:usb1="00000000" w:usb2="00000000" w:usb3="00000000" w:csb0="00000001" w:csb1="00000000"/>
  </w:font>
  <w:font w:name="Calibri-Ligh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67AC" w14:textId="77777777" w:rsidR="00B60B7D" w:rsidRPr="0090165F" w:rsidRDefault="00B60B7D"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415CA" w14:textId="77777777" w:rsidR="00B60B7D" w:rsidRPr="004A187B" w:rsidRDefault="00B60B7D" w:rsidP="008B23BC">
    <w:pPr>
      <w:pStyle w:val="Footer"/>
    </w:pPr>
    <w:r>
      <w:rPr>
        <w:noProof/>
      </w:rPr>
      <mc:AlternateContent>
        <mc:Choice Requires="wps">
          <w:drawing>
            <wp:anchor distT="0" distB="0" distL="114300" distR="114300" simplePos="0" relativeHeight="251660288" behindDoc="0" locked="0" layoutInCell="1" allowOverlap="1" wp14:anchorId="54B721B1" wp14:editId="10947951">
              <wp:simplePos x="0" y="0"/>
              <wp:positionH relativeFrom="column">
                <wp:posOffset>-548005</wp:posOffset>
              </wp:positionH>
              <wp:positionV relativeFrom="paragraph">
                <wp:posOffset>-1305560</wp:posOffset>
              </wp:positionV>
              <wp:extent cx="6071235" cy="8540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34401731" w14:textId="77777777" w:rsidR="00B60B7D" w:rsidRPr="0003606D" w:rsidRDefault="00B60B7D" w:rsidP="0003606D">
                          <w:pPr>
                            <w:pStyle w:val="coveraddresses"/>
                          </w:pPr>
                          <w:r w:rsidRPr="0003606D">
                            <w:t>ABN 47 996 232 602</w:t>
                          </w:r>
                        </w:p>
                        <w:p w14:paraId="19C6872C" w14:textId="77777777" w:rsidR="00B60B7D" w:rsidRPr="0003606D" w:rsidRDefault="00B60B7D" w:rsidP="0003606D">
                          <w:pPr>
                            <w:pStyle w:val="coveraddresses"/>
                          </w:pPr>
                          <w:r w:rsidRPr="0003606D">
                            <w:t>Level 3, 175 Pitt Street, Sydney NSW 2000</w:t>
                          </w:r>
                        </w:p>
                        <w:p w14:paraId="703C6AB0" w14:textId="77777777" w:rsidR="00B60B7D" w:rsidRPr="0003606D" w:rsidRDefault="00B60B7D" w:rsidP="0003606D">
                          <w:pPr>
                            <w:pStyle w:val="coveraddresses"/>
                          </w:pPr>
                          <w:r w:rsidRPr="0003606D">
                            <w:t>GPO Box 5218, Sydney NSW 2001</w:t>
                          </w:r>
                        </w:p>
                        <w:p w14:paraId="58D5DB9F" w14:textId="77777777" w:rsidR="00B60B7D" w:rsidRPr="0003606D" w:rsidRDefault="00B60B7D" w:rsidP="0003606D">
                          <w:pPr>
                            <w:pStyle w:val="coveraddresses"/>
                          </w:pPr>
                          <w:r w:rsidRPr="0003606D">
                            <w:t>General enquiries 1300 369 711</w:t>
                          </w:r>
                        </w:p>
                        <w:p w14:paraId="1F573C01" w14:textId="77777777" w:rsidR="00B60B7D" w:rsidRPr="0003606D" w:rsidRDefault="00B60B7D" w:rsidP="0003606D">
                          <w:pPr>
                            <w:pStyle w:val="coveraddresses"/>
                          </w:pPr>
                          <w:r w:rsidRPr="0003606D">
                            <w:t>Complaints info line 1300 656 419</w:t>
                          </w:r>
                        </w:p>
                        <w:p w14:paraId="70A5B2A6" w14:textId="77777777" w:rsidR="00B60B7D" w:rsidRPr="0003606D" w:rsidRDefault="00B60B7D" w:rsidP="0003606D">
                          <w:pPr>
                            <w:pStyle w:val="coveraddresses"/>
                          </w:pPr>
                          <w:r w:rsidRPr="0003606D">
                            <w:t>TTY 1800 620 241</w:t>
                          </w:r>
                        </w:p>
                        <w:p w14:paraId="1FC384AA" w14:textId="77777777" w:rsidR="00B60B7D" w:rsidRPr="00B63D24" w:rsidRDefault="00B60B7D"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B721B1"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14:paraId="34401731" w14:textId="77777777" w:rsidR="00B60B7D" w:rsidRPr="0003606D" w:rsidRDefault="00B60B7D" w:rsidP="0003606D">
                    <w:pPr>
                      <w:pStyle w:val="coveraddresses"/>
                    </w:pPr>
                    <w:r w:rsidRPr="0003606D">
                      <w:t>ABN 47 996 232 602</w:t>
                    </w:r>
                  </w:p>
                  <w:p w14:paraId="19C6872C" w14:textId="77777777" w:rsidR="00B60B7D" w:rsidRPr="0003606D" w:rsidRDefault="00B60B7D" w:rsidP="0003606D">
                    <w:pPr>
                      <w:pStyle w:val="coveraddresses"/>
                    </w:pPr>
                    <w:r w:rsidRPr="0003606D">
                      <w:t>Level 3, 175 Pitt Street, Sydney NSW 2000</w:t>
                    </w:r>
                  </w:p>
                  <w:p w14:paraId="703C6AB0" w14:textId="77777777" w:rsidR="00B60B7D" w:rsidRPr="0003606D" w:rsidRDefault="00B60B7D" w:rsidP="0003606D">
                    <w:pPr>
                      <w:pStyle w:val="coveraddresses"/>
                    </w:pPr>
                    <w:r w:rsidRPr="0003606D">
                      <w:t>GPO Box 5218, Sydney NSW 2001</w:t>
                    </w:r>
                  </w:p>
                  <w:p w14:paraId="58D5DB9F" w14:textId="77777777" w:rsidR="00B60B7D" w:rsidRPr="0003606D" w:rsidRDefault="00B60B7D" w:rsidP="0003606D">
                    <w:pPr>
                      <w:pStyle w:val="coveraddresses"/>
                    </w:pPr>
                    <w:r w:rsidRPr="0003606D">
                      <w:t>General enquiries 1300 369 711</w:t>
                    </w:r>
                  </w:p>
                  <w:p w14:paraId="1F573C01" w14:textId="77777777" w:rsidR="00B60B7D" w:rsidRPr="0003606D" w:rsidRDefault="00B60B7D" w:rsidP="0003606D">
                    <w:pPr>
                      <w:pStyle w:val="coveraddresses"/>
                    </w:pPr>
                    <w:r w:rsidRPr="0003606D">
                      <w:t>Complaints info line 1300 656 419</w:t>
                    </w:r>
                  </w:p>
                  <w:p w14:paraId="70A5B2A6" w14:textId="77777777" w:rsidR="00B60B7D" w:rsidRPr="0003606D" w:rsidRDefault="00B60B7D" w:rsidP="0003606D">
                    <w:pPr>
                      <w:pStyle w:val="coveraddresses"/>
                    </w:pPr>
                    <w:r w:rsidRPr="0003606D">
                      <w:t>TTY 1800 620 241</w:t>
                    </w:r>
                  </w:p>
                  <w:p w14:paraId="1FC384AA" w14:textId="77777777" w:rsidR="00B60B7D" w:rsidRPr="00B63D24" w:rsidRDefault="00B60B7D"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D30E" w14:textId="2DFD24D8" w:rsidR="00B60B7D" w:rsidRPr="0090165F" w:rsidRDefault="00B60B7D"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AC0B7E">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0F731" w14:textId="77777777" w:rsidR="00B60B7D" w:rsidRDefault="00B60B7D" w:rsidP="00F14C6D">
      <w:r>
        <w:separator/>
      </w:r>
    </w:p>
  </w:footnote>
  <w:footnote w:type="continuationSeparator" w:id="0">
    <w:p w14:paraId="7F77794D" w14:textId="77777777" w:rsidR="00B60B7D" w:rsidRDefault="00B60B7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A6688" w14:textId="77777777" w:rsidR="00B60B7D" w:rsidRDefault="00AC0B7E">
    <w:pPr>
      <w:pStyle w:val="Header"/>
    </w:pPr>
    <w:r>
      <w:rPr>
        <w:noProof/>
      </w:rPr>
      <w:pict w14:anchorId="0B202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707B" w14:textId="77777777" w:rsidR="00B60B7D" w:rsidRPr="00D27262" w:rsidRDefault="00AC0B7E" w:rsidP="002B1B65">
    <w:pPr>
      <w:spacing w:before="0" w:after="0"/>
      <w:jc w:val="right"/>
      <w:rPr>
        <w:sz w:val="22"/>
        <w:szCs w:val="22"/>
      </w:rPr>
    </w:pPr>
    <w:r>
      <w:rPr>
        <w:noProof/>
        <w:sz w:val="22"/>
        <w:szCs w:val="22"/>
      </w:rPr>
      <w:pict w14:anchorId="6C9DE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B60B7D" w:rsidRPr="00D27262">
      <w:rPr>
        <w:sz w:val="22"/>
        <w:szCs w:val="22"/>
      </w:rPr>
      <w:t>Au</w:t>
    </w:r>
    <w:r w:rsidR="00B60B7D">
      <w:rPr>
        <w:sz w:val="22"/>
        <w:szCs w:val="22"/>
      </w:rPr>
      <w:t>stralian Human Rights Commission</w:t>
    </w:r>
  </w:p>
  <w:p w14:paraId="0F2407E3" w14:textId="77777777" w:rsidR="00B60B7D" w:rsidRDefault="00B60B7D"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60B7D" w:rsidRPr="00B85DD4" w14:paraId="10EE2A9D" w14:textId="77777777" w:rsidTr="00165E3C">
      <w:trPr>
        <w:trHeight w:val="1276"/>
      </w:trPr>
      <w:tc>
        <w:tcPr>
          <w:tcW w:w="1508" w:type="dxa"/>
        </w:tcPr>
        <w:p w14:paraId="2842547C" w14:textId="77777777" w:rsidR="00B60B7D" w:rsidRPr="00B85DD4" w:rsidRDefault="00B60B7D" w:rsidP="00B520BC">
          <w:pPr>
            <w:pStyle w:val="Header"/>
            <w:tabs>
              <w:tab w:val="left" w:pos="4686"/>
              <w:tab w:val="left" w:pos="7088"/>
              <w:tab w:val="left" w:pos="7242"/>
            </w:tabs>
            <w:ind w:left="-108"/>
            <w:rPr>
              <w:rFonts w:cs="ArialMT"/>
              <w:b/>
              <w:spacing w:val="-20"/>
            </w:rPr>
          </w:pPr>
        </w:p>
      </w:tc>
      <w:tc>
        <w:tcPr>
          <w:tcW w:w="2688" w:type="dxa"/>
          <w:vAlign w:val="center"/>
        </w:tcPr>
        <w:p w14:paraId="13AFD8D0" w14:textId="77777777" w:rsidR="00B60B7D" w:rsidRPr="00B85DD4" w:rsidRDefault="00B60B7D" w:rsidP="002B1B65">
          <w:pPr>
            <w:spacing w:before="0" w:after="0"/>
            <w:rPr>
              <w:rFonts w:cs="ArialMT"/>
              <w:i/>
              <w:color w:val="808080"/>
              <w:sz w:val="17"/>
            </w:rPr>
          </w:pPr>
        </w:p>
      </w:tc>
      <w:tc>
        <w:tcPr>
          <w:tcW w:w="2302" w:type="dxa"/>
        </w:tcPr>
        <w:p w14:paraId="5C1D6D24" w14:textId="77777777" w:rsidR="00B60B7D" w:rsidRPr="00B85DD4" w:rsidRDefault="00B60B7D" w:rsidP="00B520BC">
          <w:pPr>
            <w:pStyle w:val="HeaderFooter"/>
            <w:rPr>
              <w:b/>
              <w:spacing w:val="-20"/>
              <w:sz w:val="40"/>
            </w:rPr>
          </w:pPr>
        </w:p>
      </w:tc>
      <w:tc>
        <w:tcPr>
          <w:tcW w:w="2130" w:type="dxa"/>
        </w:tcPr>
        <w:p w14:paraId="6FF0E627" w14:textId="77777777" w:rsidR="00B60B7D" w:rsidRPr="00B85DD4" w:rsidRDefault="00B60B7D" w:rsidP="00B520BC">
          <w:pPr>
            <w:pStyle w:val="HeaderFooter"/>
            <w:rPr>
              <w:b/>
              <w:spacing w:val="-20"/>
              <w:sz w:val="40"/>
            </w:rPr>
          </w:pPr>
        </w:p>
      </w:tc>
      <w:tc>
        <w:tcPr>
          <w:tcW w:w="1721" w:type="dxa"/>
        </w:tcPr>
        <w:p w14:paraId="07BA4B7A" w14:textId="77777777" w:rsidR="00B60B7D" w:rsidRPr="00B85DD4" w:rsidRDefault="00B60B7D" w:rsidP="00B520BC">
          <w:pPr>
            <w:pStyle w:val="HeaderFooter"/>
            <w:spacing w:before="227" w:after="340"/>
            <w:rPr>
              <w:b/>
              <w:spacing w:val="-20"/>
              <w:sz w:val="40"/>
            </w:rPr>
          </w:pPr>
        </w:p>
      </w:tc>
    </w:tr>
  </w:tbl>
  <w:p w14:paraId="1BE591B8" w14:textId="77777777" w:rsidR="00B60B7D" w:rsidRDefault="00AC0B7E">
    <w:pPr>
      <w:pStyle w:val="Header"/>
    </w:pPr>
    <w:r>
      <w:rPr>
        <w:rFonts w:cs="ArialMT"/>
        <w:b/>
        <w:noProof/>
        <w:spacing w:val="-20"/>
      </w:rPr>
      <w:pict w14:anchorId="7FE37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6"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C013" w14:textId="77777777" w:rsidR="00B60B7D" w:rsidRDefault="00AC0B7E">
    <w:pPr>
      <w:pStyle w:val="Header"/>
    </w:pPr>
    <w:r>
      <w:rPr>
        <w:noProof/>
      </w:rPr>
      <w:pict w14:anchorId="2AFEC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0CBF" w14:textId="77777777" w:rsidR="00B60B7D" w:rsidRPr="00D27262" w:rsidRDefault="00B60B7D" w:rsidP="00B34946">
    <w:pPr>
      <w:spacing w:before="0" w:after="60"/>
      <w:jc w:val="right"/>
      <w:rPr>
        <w:sz w:val="22"/>
        <w:szCs w:val="22"/>
      </w:rPr>
    </w:pPr>
    <w:r w:rsidRPr="00D27262">
      <w:rPr>
        <w:sz w:val="22"/>
        <w:szCs w:val="22"/>
      </w:rPr>
      <w:t>Au</w:t>
    </w:r>
    <w:r>
      <w:rPr>
        <w:sz w:val="22"/>
        <w:szCs w:val="22"/>
      </w:rPr>
      <w:t>stralian Human Rights Commission</w:t>
    </w:r>
  </w:p>
  <w:p w14:paraId="2C03FA64" w14:textId="797095D6" w:rsidR="00B60B7D" w:rsidRPr="00D729AD" w:rsidRDefault="00B60B7D" w:rsidP="002F4CE1">
    <w:pPr>
      <w:pStyle w:val="Footer"/>
      <w:spacing w:after="240"/>
      <w:jc w:val="right"/>
      <w:rPr>
        <w:i/>
        <w:szCs w:val="18"/>
      </w:rPr>
    </w:pPr>
    <w:r>
      <w:rPr>
        <w:i/>
        <w:szCs w:val="18"/>
      </w:rPr>
      <w:t>Submission to the Inquiry into local adoption</w:t>
    </w:r>
    <w:r w:rsidRPr="00D729AD">
      <w:rPr>
        <w:i/>
        <w:szCs w:val="18"/>
      </w:rPr>
      <w:t xml:space="preserve"> – </w:t>
    </w:r>
    <w:r>
      <w:rPr>
        <w:i/>
        <w:szCs w:val="18"/>
      </w:rPr>
      <w:t>June 2018</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B60B7D" w:rsidRPr="00B85DD4" w14:paraId="1A36FD6C" w14:textId="77777777" w:rsidTr="002B1B65">
      <w:trPr>
        <w:trHeight w:val="1603"/>
      </w:trPr>
      <w:tc>
        <w:tcPr>
          <w:tcW w:w="1508" w:type="dxa"/>
        </w:tcPr>
        <w:p w14:paraId="296D5047" w14:textId="77777777" w:rsidR="00B60B7D" w:rsidRPr="00B85DD4" w:rsidRDefault="00B60B7D" w:rsidP="00B520BC">
          <w:pPr>
            <w:pStyle w:val="Header"/>
            <w:tabs>
              <w:tab w:val="left" w:pos="4686"/>
              <w:tab w:val="left" w:pos="7088"/>
              <w:tab w:val="left" w:pos="7242"/>
            </w:tabs>
            <w:ind w:left="-108"/>
            <w:rPr>
              <w:rFonts w:cs="ArialMT"/>
              <w:b/>
              <w:spacing w:val="-20"/>
            </w:rPr>
          </w:pPr>
          <w:r w:rsidRPr="004D6E55">
            <w:rPr>
              <w:rFonts w:cs="ArialMT"/>
              <w:b/>
              <w:noProof/>
              <w:spacing w:val="-20"/>
            </w:rPr>
            <w:drawing>
              <wp:inline distT="0" distB="0" distL="0" distR="0" wp14:anchorId="0C5CC908" wp14:editId="5E98F98B">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1AD6CA9" w14:textId="77777777" w:rsidR="00B60B7D" w:rsidRPr="00D36BB2" w:rsidRDefault="00B60B7D" w:rsidP="002B1B65">
          <w:pPr>
            <w:pStyle w:val="LogoType"/>
            <w:pBdr>
              <w:bottom w:val="single" w:sz="4" w:space="1" w:color="808080"/>
            </w:pBdr>
            <w:spacing w:line="240" w:lineRule="auto"/>
          </w:pPr>
          <w:r w:rsidRPr="00D36BB2">
            <w:t>Australian</w:t>
          </w:r>
        </w:p>
        <w:p w14:paraId="552E8A6D" w14:textId="77777777" w:rsidR="00B60B7D" w:rsidRPr="00D36BB2" w:rsidRDefault="00B60B7D" w:rsidP="002B1B65">
          <w:pPr>
            <w:pStyle w:val="LogoType"/>
            <w:pBdr>
              <w:bottom w:val="single" w:sz="4" w:space="1" w:color="808080"/>
            </w:pBdr>
            <w:spacing w:line="240" w:lineRule="auto"/>
          </w:pPr>
          <w:r w:rsidRPr="00D36BB2">
            <w:t>Human Rights</w:t>
          </w:r>
        </w:p>
        <w:p w14:paraId="75815B2D" w14:textId="77777777" w:rsidR="00B60B7D" w:rsidRPr="00D36BB2" w:rsidRDefault="00B60B7D" w:rsidP="002B1B65">
          <w:pPr>
            <w:pStyle w:val="LogoType"/>
            <w:pBdr>
              <w:bottom w:val="single" w:sz="4" w:space="1" w:color="808080"/>
            </w:pBdr>
            <w:spacing w:line="240" w:lineRule="auto"/>
          </w:pPr>
          <w:r w:rsidRPr="00D36BB2">
            <w:t>Commission</w:t>
          </w:r>
        </w:p>
        <w:p w14:paraId="7E93B68B" w14:textId="77777777" w:rsidR="00B60B7D" w:rsidRPr="00B85DD4" w:rsidRDefault="00B60B7D"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3CEF39A" w14:textId="77777777" w:rsidR="00B60B7D" w:rsidRPr="00B85DD4" w:rsidRDefault="00B60B7D" w:rsidP="00B520BC">
          <w:pPr>
            <w:pStyle w:val="HeaderFooter"/>
            <w:rPr>
              <w:b/>
              <w:spacing w:val="-20"/>
              <w:sz w:val="40"/>
            </w:rPr>
          </w:pPr>
        </w:p>
      </w:tc>
      <w:tc>
        <w:tcPr>
          <w:tcW w:w="2130" w:type="dxa"/>
        </w:tcPr>
        <w:p w14:paraId="35640D39" w14:textId="77777777" w:rsidR="00B60B7D" w:rsidRPr="00B85DD4" w:rsidRDefault="00B60B7D" w:rsidP="00B520BC">
          <w:pPr>
            <w:pStyle w:val="HeaderFooter"/>
            <w:rPr>
              <w:b/>
              <w:spacing w:val="-20"/>
              <w:sz w:val="40"/>
            </w:rPr>
          </w:pPr>
        </w:p>
      </w:tc>
      <w:tc>
        <w:tcPr>
          <w:tcW w:w="1721" w:type="dxa"/>
        </w:tcPr>
        <w:p w14:paraId="5A5C18F9" w14:textId="77777777" w:rsidR="00B60B7D" w:rsidRPr="00B85DD4" w:rsidRDefault="00B60B7D" w:rsidP="00B520BC">
          <w:pPr>
            <w:pStyle w:val="HeaderFooter"/>
            <w:spacing w:before="227" w:after="340"/>
            <w:rPr>
              <w:b/>
              <w:spacing w:val="-20"/>
              <w:sz w:val="40"/>
            </w:rPr>
          </w:pPr>
        </w:p>
      </w:tc>
    </w:tr>
  </w:tbl>
  <w:p w14:paraId="4AA4E077" w14:textId="77777777" w:rsidR="00B60B7D" w:rsidRDefault="00AC0B7E">
    <w:pPr>
      <w:pStyle w:val="Header"/>
    </w:pPr>
    <w:r>
      <w:rPr>
        <w:rFonts w:cs="ArialMT"/>
        <w:b/>
        <w:noProof/>
        <w:spacing w:val="-20"/>
      </w:rPr>
      <w:pict w14:anchorId="2DAA2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03545642"/>
    <w:multiLevelType w:val="hybridMultilevel"/>
    <w:tmpl w:val="D83E3C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3977735"/>
    <w:multiLevelType w:val="hybridMultilevel"/>
    <w:tmpl w:val="1E6A0E36"/>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6BE5A73"/>
    <w:multiLevelType w:val="hybridMultilevel"/>
    <w:tmpl w:val="B5726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5D3343"/>
    <w:multiLevelType w:val="hybridMultilevel"/>
    <w:tmpl w:val="8DD00EAC"/>
    <w:numStyleLink w:val="ImportedStyle7"/>
  </w:abstractNum>
  <w:abstractNum w:abstractNumId="15" w15:restartNumberingAfterBreak="0">
    <w:nsid w:val="1BCC2472"/>
    <w:multiLevelType w:val="hybridMultilevel"/>
    <w:tmpl w:val="E4BA48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DCB237C"/>
    <w:multiLevelType w:val="hybridMultilevel"/>
    <w:tmpl w:val="B8808ECA"/>
    <w:lvl w:ilvl="0" w:tplc="A32EC982">
      <w:start w:val="1"/>
      <w:numFmt w:val="decimal"/>
      <w:pStyle w:val="SubmissionNormal"/>
      <w:lvlText w:val="%1."/>
      <w:lvlJc w:val="left"/>
      <w:pPr>
        <w:tabs>
          <w:tab w:val="num" w:pos="786"/>
        </w:tabs>
        <w:ind w:left="786"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18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0284F9C"/>
    <w:multiLevelType w:val="hybridMultilevel"/>
    <w:tmpl w:val="8DD00EAC"/>
    <w:styleLink w:val="ImportedStyle7"/>
    <w:lvl w:ilvl="0" w:tplc="2EAE16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544B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602B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3CCE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E288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0407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6A11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B348B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156C2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2625180"/>
    <w:multiLevelType w:val="multilevel"/>
    <w:tmpl w:val="A576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87539F"/>
    <w:multiLevelType w:val="hybridMultilevel"/>
    <w:tmpl w:val="6B66B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841E71"/>
    <w:multiLevelType w:val="hybridMultilevel"/>
    <w:tmpl w:val="08F285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5E72EE3"/>
    <w:multiLevelType w:val="hybridMultilevel"/>
    <w:tmpl w:val="0C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661699"/>
    <w:multiLevelType w:val="hybridMultilevel"/>
    <w:tmpl w:val="2940C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AD7B84"/>
    <w:multiLevelType w:val="hybridMultilevel"/>
    <w:tmpl w:val="BA54C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CD6E50"/>
    <w:multiLevelType w:val="hybridMultilevel"/>
    <w:tmpl w:val="842401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FF7A73"/>
    <w:multiLevelType w:val="multilevel"/>
    <w:tmpl w:val="9C62EE3E"/>
    <w:lvl w:ilvl="0">
      <w:start w:val="1"/>
      <w:numFmt w:val="decimal"/>
      <w:pStyle w:val="Heading1"/>
      <w:lvlText w:val="%1"/>
      <w:lvlJc w:val="left"/>
      <w:pPr>
        <w:tabs>
          <w:tab w:val="num" w:pos="851"/>
        </w:tabs>
        <w:ind w:left="851" w:hanging="851"/>
      </w:pPr>
      <w:rPr>
        <w:rFonts w:hint="default"/>
      </w:rPr>
    </w:lvl>
    <w:lvl w:ilvl="1">
      <w:start w:val="4"/>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8" w15:restartNumberingAfterBreak="0">
    <w:nsid w:val="4B2B76B0"/>
    <w:multiLevelType w:val="multilevel"/>
    <w:tmpl w:val="39B8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455FF6"/>
    <w:multiLevelType w:val="hybridMultilevel"/>
    <w:tmpl w:val="3104E268"/>
    <w:lvl w:ilvl="0" w:tplc="A32EC982">
      <w:start w:val="1"/>
      <w:numFmt w:val="decimal"/>
      <w:lvlText w:val="%1."/>
      <w:lvlJc w:val="left"/>
      <w:pPr>
        <w:tabs>
          <w:tab w:val="num" w:pos="786"/>
        </w:tabs>
        <w:ind w:left="786"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18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4F720905"/>
    <w:multiLevelType w:val="hybridMultilevel"/>
    <w:tmpl w:val="85A220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2548E"/>
    <w:multiLevelType w:val="hybridMultilevel"/>
    <w:tmpl w:val="0152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7B6987"/>
    <w:multiLevelType w:val="hybridMultilevel"/>
    <w:tmpl w:val="81227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6F80807"/>
    <w:multiLevelType w:val="hybridMultilevel"/>
    <w:tmpl w:val="585C3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09501B"/>
    <w:multiLevelType w:val="multilevel"/>
    <w:tmpl w:val="DE5E3DFA"/>
    <w:lvl w:ilvl="0">
      <w:start w:val="7"/>
      <w:numFmt w:val="decimal"/>
      <w:lvlText w:val="%1"/>
      <w:lvlJc w:val="left"/>
      <w:pPr>
        <w:ind w:left="380" w:hanging="3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8545A4"/>
    <w:multiLevelType w:val="hybridMultilevel"/>
    <w:tmpl w:val="C70EFADE"/>
    <w:lvl w:ilvl="0" w:tplc="EDE27DD4">
      <w:start w:val="5"/>
      <w:numFmt w:val="bullet"/>
      <w:lvlText w:val=""/>
      <w:lvlJc w:val="left"/>
      <w:pPr>
        <w:ind w:left="108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E35750"/>
    <w:multiLevelType w:val="hybridMultilevel"/>
    <w:tmpl w:val="B3D6BE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AE379D"/>
    <w:multiLevelType w:val="multilevel"/>
    <w:tmpl w:val="9182B684"/>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9"/>
  </w:num>
  <w:num w:numId="13">
    <w:abstractNumId w:val="26"/>
  </w:num>
  <w:num w:numId="14">
    <w:abstractNumId w:val="18"/>
  </w:num>
  <w:num w:numId="15">
    <w:abstractNumId w:val="16"/>
  </w:num>
  <w:num w:numId="16">
    <w:abstractNumId w:val="10"/>
  </w:num>
  <w:num w:numId="17">
    <w:abstractNumId w:val="21"/>
  </w:num>
  <w:num w:numId="18">
    <w:abstractNumId w:val="33"/>
  </w:num>
  <w:num w:numId="19">
    <w:abstractNumId w:val="32"/>
  </w:num>
  <w:num w:numId="20">
    <w:abstractNumId w:val="36"/>
  </w:num>
  <w:num w:numId="21">
    <w:abstractNumId w:val="17"/>
  </w:num>
  <w:num w:numId="22">
    <w:abstractNumId w:val="14"/>
  </w:num>
  <w:num w:numId="23">
    <w:abstractNumId w:val="37"/>
  </w:num>
  <w:num w:numId="24">
    <w:abstractNumId w:val="34"/>
  </w:num>
  <w:num w:numId="25">
    <w:abstractNumId w:val="13"/>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8"/>
  </w:num>
  <w:num w:numId="30">
    <w:abstractNumId w:val="23"/>
  </w:num>
  <w:num w:numId="31">
    <w:abstractNumId w:val="24"/>
  </w:num>
  <w:num w:numId="32">
    <w:abstractNumId w:val="35"/>
  </w:num>
  <w:num w:numId="33">
    <w:abstractNumId w:val="15"/>
  </w:num>
  <w:num w:numId="34">
    <w:abstractNumId w:val="31"/>
  </w:num>
  <w:num w:numId="35">
    <w:abstractNumId w:val="38"/>
  </w:num>
  <w:num w:numId="36">
    <w:abstractNumId w:val="11"/>
  </w:num>
  <w:num w:numId="37">
    <w:abstractNumId w:val="25"/>
  </w:num>
  <w:num w:numId="38">
    <w:abstractNumId w:val="16"/>
  </w:num>
  <w:num w:numId="39">
    <w:abstractNumId w:val="16"/>
    <w:lvlOverride w:ilvl="0">
      <w:startOverride w:val="1"/>
    </w:lvlOverride>
  </w:num>
  <w:num w:numId="40">
    <w:abstractNumId w:val="20"/>
  </w:num>
  <w:num w:numId="41">
    <w:abstractNumId w:val="12"/>
  </w:num>
  <w:num w:numId="42">
    <w:abstractNumId w:val="30"/>
  </w:num>
  <w:num w:numId="4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41B7B52-0B3C-431F-9EB1-5CC233547675}"/>
    <w:docVar w:name="dgnword-eventsink" w:val="595866584"/>
  </w:docVars>
  <w:rsids>
    <w:rsidRoot w:val="00E846D7"/>
    <w:rsid w:val="000010EF"/>
    <w:rsid w:val="0000140C"/>
    <w:rsid w:val="000026AF"/>
    <w:rsid w:val="000034F3"/>
    <w:rsid w:val="0000401A"/>
    <w:rsid w:val="00004988"/>
    <w:rsid w:val="00004E0B"/>
    <w:rsid w:val="000057A0"/>
    <w:rsid w:val="00005EB8"/>
    <w:rsid w:val="00006042"/>
    <w:rsid w:val="0000715D"/>
    <w:rsid w:val="00010CA8"/>
    <w:rsid w:val="000110E5"/>
    <w:rsid w:val="000112A5"/>
    <w:rsid w:val="000113BA"/>
    <w:rsid w:val="00011D96"/>
    <w:rsid w:val="000129D9"/>
    <w:rsid w:val="00013326"/>
    <w:rsid w:val="000138F4"/>
    <w:rsid w:val="0001526A"/>
    <w:rsid w:val="0001674F"/>
    <w:rsid w:val="00017904"/>
    <w:rsid w:val="0002018A"/>
    <w:rsid w:val="00020936"/>
    <w:rsid w:val="00021061"/>
    <w:rsid w:val="0002141A"/>
    <w:rsid w:val="000217C2"/>
    <w:rsid w:val="000225DD"/>
    <w:rsid w:val="0002326F"/>
    <w:rsid w:val="00024B94"/>
    <w:rsid w:val="00025D7E"/>
    <w:rsid w:val="00027457"/>
    <w:rsid w:val="0002771A"/>
    <w:rsid w:val="00027B94"/>
    <w:rsid w:val="00027EF4"/>
    <w:rsid w:val="0003090E"/>
    <w:rsid w:val="00030957"/>
    <w:rsid w:val="00031983"/>
    <w:rsid w:val="00032472"/>
    <w:rsid w:val="0003297F"/>
    <w:rsid w:val="00032AEB"/>
    <w:rsid w:val="00032C45"/>
    <w:rsid w:val="00033292"/>
    <w:rsid w:val="0003606D"/>
    <w:rsid w:val="0003648F"/>
    <w:rsid w:val="000364F7"/>
    <w:rsid w:val="00036791"/>
    <w:rsid w:val="0003758E"/>
    <w:rsid w:val="00037D4F"/>
    <w:rsid w:val="000404F7"/>
    <w:rsid w:val="00041337"/>
    <w:rsid w:val="00042C0E"/>
    <w:rsid w:val="00042DAA"/>
    <w:rsid w:val="00043F95"/>
    <w:rsid w:val="00044346"/>
    <w:rsid w:val="0004497B"/>
    <w:rsid w:val="00045461"/>
    <w:rsid w:val="00045B5D"/>
    <w:rsid w:val="00046444"/>
    <w:rsid w:val="00053500"/>
    <w:rsid w:val="0005532C"/>
    <w:rsid w:val="0005587C"/>
    <w:rsid w:val="00056241"/>
    <w:rsid w:val="00056BA2"/>
    <w:rsid w:val="000579B1"/>
    <w:rsid w:val="000579D4"/>
    <w:rsid w:val="00060638"/>
    <w:rsid w:val="0006095E"/>
    <w:rsid w:val="00060CBB"/>
    <w:rsid w:val="00061E8D"/>
    <w:rsid w:val="0006222B"/>
    <w:rsid w:val="000625D1"/>
    <w:rsid w:val="00062C77"/>
    <w:rsid w:val="000635D7"/>
    <w:rsid w:val="00063A8A"/>
    <w:rsid w:val="00064918"/>
    <w:rsid w:val="00064A7A"/>
    <w:rsid w:val="0006589C"/>
    <w:rsid w:val="00065FBB"/>
    <w:rsid w:val="000665A5"/>
    <w:rsid w:val="00066AAD"/>
    <w:rsid w:val="00067435"/>
    <w:rsid w:val="0006771C"/>
    <w:rsid w:val="00070319"/>
    <w:rsid w:val="000705E8"/>
    <w:rsid w:val="00071337"/>
    <w:rsid w:val="00071DE0"/>
    <w:rsid w:val="00072D2F"/>
    <w:rsid w:val="00073C66"/>
    <w:rsid w:val="00073ECC"/>
    <w:rsid w:val="00074319"/>
    <w:rsid w:val="000746C9"/>
    <w:rsid w:val="00074DF0"/>
    <w:rsid w:val="00075F5B"/>
    <w:rsid w:val="0007687E"/>
    <w:rsid w:val="00076E99"/>
    <w:rsid w:val="0008030E"/>
    <w:rsid w:val="00081778"/>
    <w:rsid w:val="00082145"/>
    <w:rsid w:val="00083ECA"/>
    <w:rsid w:val="00083F52"/>
    <w:rsid w:val="0008476E"/>
    <w:rsid w:val="00084C1E"/>
    <w:rsid w:val="00085A5B"/>
    <w:rsid w:val="000867B7"/>
    <w:rsid w:val="00086B17"/>
    <w:rsid w:val="00086CCF"/>
    <w:rsid w:val="00090A1C"/>
    <w:rsid w:val="00092FD8"/>
    <w:rsid w:val="000942C2"/>
    <w:rsid w:val="0009492D"/>
    <w:rsid w:val="0009567F"/>
    <w:rsid w:val="00096408"/>
    <w:rsid w:val="00097002"/>
    <w:rsid w:val="00097195"/>
    <w:rsid w:val="000A0639"/>
    <w:rsid w:val="000A0BFC"/>
    <w:rsid w:val="000A1375"/>
    <w:rsid w:val="000A1739"/>
    <w:rsid w:val="000A1DB8"/>
    <w:rsid w:val="000A26C8"/>
    <w:rsid w:val="000A2DD7"/>
    <w:rsid w:val="000A306C"/>
    <w:rsid w:val="000A32F3"/>
    <w:rsid w:val="000A37ED"/>
    <w:rsid w:val="000A48AC"/>
    <w:rsid w:val="000A4AC2"/>
    <w:rsid w:val="000A5731"/>
    <w:rsid w:val="000A5B1C"/>
    <w:rsid w:val="000A5BB4"/>
    <w:rsid w:val="000A66C4"/>
    <w:rsid w:val="000A7C09"/>
    <w:rsid w:val="000B0A5D"/>
    <w:rsid w:val="000B0DB5"/>
    <w:rsid w:val="000B20FD"/>
    <w:rsid w:val="000B3D19"/>
    <w:rsid w:val="000B4B1F"/>
    <w:rsid w:val="000B4E0E"/>
    <w:rsid w:val="000B5BFC"/>
    <w:rsid w:val="000C0729"/>
    <w:rsid w:val="000C0CC6"/>
    <w:rsid w:val="000C36F2"/>
    <w:rsid w:val="000C370E"/>
    <w:rsid w:val="000C4F63"/>
    <w:rsid w:val="000C5525"/>
    <w:rsid w:val="000C5813"/>
    <w:rsid w:val="000C73C5"/>
    <w:rsid w:val="000C79AF"/>
    <w:rsid w:val="000C7D2D"/>
    <w:rsid w:val="000C7FDD"/>
    <w:rsid w:val="000D074A"/>
    <w:rsid w:val="000D0B4B"/>
    <w:rsid w:val="000D0CA4"/>
    <w:rsid w:val="000D12F7"/>
    <w:rsid w:val="000D2D9C"/>
    <w:rsid w:val="000D3508"/>
    <w:rsid w:val="000D4808"/>
    <w:rsid w:val="000D4DF7"/>
    <w:rsid w:val="000D5ABA"/>
    <w:rsid w:val="000D6A11"/>
    <w:rsid w:val="000D7800"/>
    <w:rsid w:val="000E0343"/>
    <w:rsid w:val="000E0623"/>
    <w:rsid w:val="000E080E"/>
    <w:rsid w:val="000E130A"/>
    <w:rsid w:val="000E2015"/>
    <w:rsid w:val="000E287A"/>
    <w:rsid w:val="000E2C21"/>
    <w:rsid w:val="000E2CBA"/>
    <w:rsid w:val="000E2E8B"/>
    <w:rsid w:val="000E2F42"/>
    <w:rsid w:val="000E2F50"/>
    <w:rsid w:val="000E4231"/>
    <w:rsid w:val="000E4D5B"/>
    <w:rsid w:val="000E53F6"/>
    <w:rsid w:val="000E5899"/>
    <w:rsid w:val="000E59D7"/>
    <w:rsid w:val="000E6D98"/>
    <w:rsid w:val="000E7559"/>
    <w:rsid w:val="000E783B"/>
    <w:rsid w:val="000F095E"/>
    <w:rsid w:val="000F2074"/>
    <w:rsid w:val="000F2A55"/>
    <w:rsid w:val="000F2B35"/>
    <w:rsid w:val="000F2E68"/>
    <w:rsid w:val="000F4B9B"/>
    <w:rsid w:val="000F58EF"/>
    <w:rsid w:val="000F60BC"/>
    <w:rsid w:val="000F66A6"/>
    <w:rsid w:val="000F67C0"/>
    <w:rsid w:val="000F7E19"/>
    <w:rsid w:val="001002FC"/>
    <w:rsid w:val="00100530"/>
    <w:rsid w:val="00100677"/>
    <w:rsid w:val="001013E3"/>
    <w:rsid w:val="00101B57"/>
    <w:rsid w:val="001021DB"/>
    <w:rsid w:val="00102AA2"/>
    <w:rsid w:val="00102E5A"/>
    <w:rsid w:val="001040B4"/>
    <w:rsid w:val="00104361"/>
    <w:rsid w:val="00105137"/>
    <w:rsid w:val="00105420"/>
    <w:rsid w:val="00105C46"/>
    <w:rsid w:val="00105FD5"/>
    <w:rsid w:val="001064C4"/>
    <w:rsid w:val="001071FC"/>
    <w:rsid w:val="00107E70"/>
    <w:rsid w:val="00110132"/>
    <w:rsid w:val="00110E1A"/>
    <w:rsid w:val="00111C16"/>
    <w:rsid w:val="001125C3"/>
    <w:rsid w:val="00112A62"/>
    <w:rsid w:val="00112B92"/>
    <w:rsid w:val="0011371B"/>
    <w:rsid w:val="00113FE9"/>
    <w:rsid w:val="00114092"/>
    <w:rsid w:val="00114415"/>
    <w:rsid w:val="001144B5"/>
    <w:rsid w:val="001172C3"/>
    <w:rsid w:val="001178E9"/>
    <w:rsid w:val="00117C2E"/>
    <w:rsid w:val="00120E0A"/>
    <w:rsid w:val="00120EF2"/>
    <w:rsid w:val="00121ECF"/>
    <w:rsid w:val="00123006"/>
    <w:rsid w:val="00123A55"/>
    <w:rsid w:val="0012445A"/>
    <w:rsid w:val="00124FCC"/>
    <w:rsid w:val="00125790"/>
    <w:rsid w:val="00125DC1"/>
    <w:rsid w:val="001266AB"/>
    <w:rsid w:val="0012709A"/>
    <w:rsid w:val="0013007F"/>
    <w:rsid w:val="00131CB5"/>
    <w:rsid w:val="00132B71"/>
    <w:rsid w:val="00134774"/>
    <w:rsid w:val="00134B2C"/>
    <w:rsid w:val="0013568F"/>
    <w:rsid w:val="00135A9E"/>
    <w:rsid w:val="00135FFE"/>
    <w:rsid w:val="001360C4"/>
    <w:rsid w:val="0013616E"/>
    <w:rsid w:val="001367A5"/>
    <w:rsid w:val="00136A99"/>
    <w:rsid w:val="00136EA3"/>
    <w:rsid w:val="0013702D"/>
    <w:rsid w:val="001376AE"/>
    <w:rsid w:val="00137744"/>
    <w:rsid w:val="00140274"/>
    <w:rsid w:val="001403A2"/>
    <w:rsid w:val="0014142D"/>
    <w:rsid w:val="0014226B"/>
    <w:rsid w:val="00142716"/>
    <w:rsid w:val="001427C3"/>
    <w:rsid w:val="001437EB"/>
    <w:rsid w:val="00144216"/>
    <w:rsid w:val="0014430E"/>
    <w:rsid w:val="001447C8"/>
    <w:rsid w:val="00144912"/>
    <w:rsid w:val="001451A6"/>
    <w:rsid w:val="00145512"/>
    <w:rsid w:val="00146851"/>
    <w:rsid w:val="001471E1"/>
    <w:rsid w:val="00147954"/>
    <w:rsid w:val="00150154"/>
    <w:rsid w:val="00151263"/>
    <w:rsid w:val="001518F4"/>
    <w:rsid w:val="00152579"/>
    <w:rsid w:val="001528A2"/>
    <w:rsid w:val="00152A12"/>
    <w:rsid w:val="00152D5E"/>
    <w:rsid w:val="00153954"/>
    <w:rsid w:val="001544DD"/>
    <w:rsid w:val="0015536C"/>
    <w:rsid w:val="001560BE"/>
    <w:rsid w:val="0015624B"/>
    <w:rsid w:val="00156AAB"/>
    <w:rsid w:val="00157011"/>
    <w:rsid w:val="00160C96"/>
    <w:rsid w:val="00160FB0"/>
    <w:rsid w:val="00161277"/>
    <w:rsid w:val="00162A8D"/>
    <w:rsid w:val="001647C0"/>
    <w:rsid w:val="00165E3C"/>
    <w:rsid w:val="00165FCA"/>
    <w:rsid w:val="00166D6D"/>
    <w:rsid w:val="00167D6C"/>
    <w:rsid w:val="001701BF"/>
    <w:rsid w:val="0017075F"/>
    <w:rsid w:val="00172481"/>
    <w:rsid w:val="00172562"/>
    <w:rsid w:val="001727F1"/>
    <w:rsid w:val="00172A57"/>
    <w:rsid w:val="001734E6"/>
    <w:rsid w:val="001739AC"/>
    <w:rsid w:val="00173A63"/>
    <w:rsid w:val="00173FB5"/>
    <w:rsid w:val="0017416B"/>
    <w:rsid w:val="0017563C"/>
    <w:rsid w:val="00175D44"/>
    <w:rsid w:val="00177BFD"/>
    <w:rsid w:val="00180202"/>
    <w:rsid w:val="00180856"/>
    <w:rsid w:val="00180BE8"/>
    <w:rsid w:val="00181664"/>
    <w:rsid w:val="0018333B"/>
    <w:rsid w:val="0018360B"/>
    <w:rsid w:val="0018382E"/>
    <w:rsid w:val="00183AB1"/>
    <w:rsid w:val="0018462E"/>
    <w:rsid w:val="00184669"/>
    <w:rsid w:val="00184709"/>
    <w:rsid w:val="00184764"/>
    <w:rsid w:val="00185953"/>
    <w:rsid w:val="0018609D"/>
    <w:rsid w:val="00186457"/>
    <w:rsid w:val="001866CC"/>
    <w:rsid w:val="0018711C"/>
    <w:rsid w:val="00187604"/>
    <w:rsid w:val="00187A70"/>
    <w:rsid w:val="00187B38"/>
    <w:rsid w:val="00190389"/>
    <w:rsid w:val="001903F0"/>
    <w:rsid w:val="00190D43"/>
    <w:rsid w:val="00190EC8"/>
    <w:rsid w:val="0019254F"/>
    <w:rsid w:val="00192748"/>
    <w:rsid w:val="00192F20"/>
    <w:rsid w:val="0019426A"/>
    <w:rsid w:val="00195938"/>
    <w:rsid w:val="00196121"/>
    <w:rsid w:val="0019737F"/>
    <w:rsid w:val="00197520"/>
    <w:rsid w:val="001A0018"/>
    <w:rsid w:val="001A08C1"/>
    <w:rsid w:val="001A0B18"/>
    <w:rsid w:val="001A1E14"/>
    <w:rsid w:val="001A209F"/>
    <w:rsid w:val="001A26AA"/>
    <w:rsid w:val="001A2724"/>
    <w:rsid w:val="001A2D7C"/>
    <w:rsid w:val="001A467F"/>
    <w:rsid w:val="001A49B4"/>
    <w:rsid w:val="001A5CCA"/>
    <w:rsid w:val="001A6083"/>
    <w:rsid w:val="001A65D5"/>
    <w:rsid w:val="001A6BF2"/>
    <w:rsid w:val="001A6C69"/>
    <w:rsid w:val="001B0072"/>
    <w:rsid w:val="001B0353"/>
    <w:rsid w:val="001B08D6"/>
    <w:rsid w:val="001B1148"/>
    <w:rsid w:val="001B12D8"/>
    <w:rsid w:val="001B1EC6"/>
    <w:rsid w:val="001B2042"/>
    <w:rsid w:val="001B33FC"/>
    <w:rsid w:val="001B3638"/>
    <w:rsid w:val="001B3B45"/>
    <w:rsid w:val="001B413B"/>
    <w:rsid w:val="001B5525"/>
    <w:rsid w:val="001B5BA2"/>
    <w:rsid w:val="001B662D"/>
    <w:rsid w:val="001B672C"/>
    <w:rsid w:val="001B68AE"/>
    <w:rsid w:val="001B7A23"/>
    <w:rsid w:val="001C0BC8"/>
    <w:rsid w:val="001C0D6F"/>
    <w:rsid w:val="001C0F4B"/>
    <w:rsid w:val="001C1077"/>
    <w:rsid w:val="001C16BB"/>
    <w:rsid w:val="001C1F8B"/>
    <w:rsid w:val="001C23B1"/>
    <w:rsid w:val="001C23E1"/>
    <w:rsid w:val="001C2B58"/>
    <w:rsid w:val="001C32FC"/>
    <w:rsid w:val="001C3B41"/>
    <w:rsid w:val="001C3DB1"/>
    <w:rsid w:val="001C42B4"/>
    <w:rsid w:val="001C6112"/>
    <w:rsid w:val="001C7B56"/>
    <w:rsid w:val="001D121F"/>
    <w:rsid w:val="001D1A01"/>
    <w:rsid w:val="001D1CA0"/>
    <w:rsid w:val="001D2A5C"/>
    <w:rsid w:val="001D3599"/>
    <w:rsid w:val="001D36E9"/>
    <w:rsid w:val="001D5699"/>
    <w:rsid w:val="001D7C00"/>
    <w:rsid w:val="001E11A7"/>
    <w:rsid w:val="001E11EF"/>
    <w:rsid w:val="001E17D5"/>
    <w:rsid w:val="001E4FB1"/>
    <w:rsid w:val="001E4FB5"/>
    <w:rsid w:val="001E5215"/>
    <w:rsid w:val="001E5384"/>
    <w:rsid w:val="001E5B02"/>
    <w:rsid w:val="001E5D0F"/>
    <w:rsid w:val="001E78D3"/>
    <w:rsid w:val="001F0B13"/>
    <w:rsid w:val="001F0D3A"/>
    <w:rsid w:val="001F1C6D"/>
    <w:rsid w:val="001F2BBB"/>
    <w:rsid w:val="001F471A"/>
    <w:rsid w:val="001F6736"/>
    <w:rsid w:val="001F688D"/>
    <w:rsid w:val="001F6964"/>
    <w:rsid w:val="001F7559"/>
    <w:rsid w:val="001F7746"/>
    <w:rsid w:val="001F7AAF"/>
    <w:rsid w:val="00200677"/>
    <w:rsid w:val="002015F5"/>
    <w:rsid w:val="002018AD"/>
    <w:rsid w:val="00201E57"/>
    <w:rsid w:val="0020250F"/>
    <w:rsid w:val="00202EB0"/>
    <w:rsid w:val="00203022"/>
    <w:rsid w:val="00203440"/>
    <w:rsid w:val="00203445"/>
    <w:rsid w:val="00203A5E"/>
    <w:rsid w:val="00204562"/>
    <w:rsid w:val="0020477B"/>
    <w:rsid w:val="00205BD9"/>
    <w:rsid w:val="00205C02"/>
    <w:rsid w:val="00206BE3"/>
    <w:rsid w:val="00207233"/>
    <w:rsid w:val="00207ACA"/>
    <w:rsid w:val="00207F0A"/>
    <w:rsid w:val="002100A3"/>
    <w:rsid w:val="00211185"/>
    <w:rsid w:val="00211665"/>
    <w:rsid w:val="00211CD0"/>
    <w:rsid w:val="0021340A"/>
    <w:rsid w:val="002140AA"/>
    <w:rsid w:val="00214550"/>
    <w:rsid w:val="00214C1B"/>
    <w:rsid w:val="00214CBC"/>
    <w:rsid w:val="00215815"/>
    <w:rsid w:val="002158EF"/>
    <w:rsid w:val="00216A27"/>
    <w:rsid w:val="00221A06"/>
    <w:rsid w:val="00223112"/>
    <w:rsid w:val="00223CB3"/>
    <w:rsid w:val="00224AA3"/>
    <w:rsid w:val="00224C00"/>
    <w:rsid w:val="00224D5B"/>
    <w:rsid w:val="002251B5"/>
    <w:rsid w:val="0022555E"/>
    <w:rsid w:val="00225685"/>
    <w:rsid w:val="00225814"/>
    <w:rsid w:val="00226AD8"/>
    <w:rsid w:val="00226D19"/>
    <w:rsid w:val="00227A93"/>
    <w:rsid w:val="00227FB0"/>
    <w:rsid w:val="002306B0"/>
    <w:rsid w:val="00230C30"/>
    <w:rsid w:val="00231BAA"/>
    <w:rsid w:val="00231ED1"/>
    <w:rsid w:val="00232201"/>
    <w:rsid w:val="002322F2"/>
    <w:rsid w:val="0023231E"/>
    <w:rsid w:val="0023270E"/>
    <w:rsid w:val="002333A6"/>
    <w:rsid w:val="00233B6F"/>
    <w:rsid w:val="00234BE2"/>
    <w:rsid w:val="002355FB"/>
    <w:rsid w:val="00235862"/>
    <w:rsid w:val="002364CE"/>
    <w:rsid w:val="00236607"/>
    <w:rsid w:val="00236FAD"/>
    <w:rsid w:val="0023759E"/>
    <w:rsid w:val="00237720"/>
    <w:rsid w:val="00237F5D"/>
    <w:rsid w:val="0024026C"/>
    <w:rsid w:val="00241416"/>
    <w:rsid w:val="002417C2"/>
    <w:rsid w:val="0024257F"/>
    <w:rsid w:val="00242624"/>
    <w:rsid w:val="00243393"/>
    <w:rsid w:val="002436C5"/>
    <w:rsid w:val="002437B4"/>
    <w:rsid w:val="0024557E"/>
    <w:rsid w:val="00245ABA"/>
    <w:rsid w:val="00246063"/>
    <w:rsid w:val="002461D5"/>
    <w:rsid w:val="0024649E"/>
    <w:rsid w:val="00247262"/>
    <w:rsid w:val="00247610"/>
    <w:rsid w:val="002478ED"/>
    <w:rsid w:val="00251013"/>
    <w:rsid w:val="00251C15"/>
    <w:rsid w:val="00251D88"/>
    <w:rsid w:val="0025342E"/>
    <w:rsid w:val="002548F0"/>
    <w:rsid w:val="00254ED5"/>
    <w:rsid w:val="002555B2"/>
    <w:rsid w:val="002558DD"/>
    <w:rsid w:val="00255A50"/>
    <w:rsid w:val="0025606A"/>
    <w:rsid w:val="00256166"/>
    <w:rsid w:val="00257232"/>
    <w:rsid w:val="002575ED"/>
    <w:rsid w:val="00260A6C"/>
    <w:rsid w:val="00260ACF"/>
    <w:rsid w:val="002617CD"/>
    <w:rsid w:val="002619A5"/>
    <w:rsid w:val="002625D2"/>
    <w:rsid w:val="002626D4"/>
    <w:rsid w:val="00262CFF"/>
    <w:rsid w:val="00264558"/>
    <w:rsid w:val="00266DF5"/>
    <w:rsid w:val="00267E3D"/>
    <w:rsid w:val="0027057E"/>
    <w:rsid w:val="00270746"/>
    <w:rsid w:val="00271500"/>
    <w:rsid w:val="00271818"/>
    <w:rsid w:val="00271F19"/>
    <w:rsid w:val="002720A1"/>
    <w:rsid w:val="00272339"/>
    <w:rsid w:val="0027277B"/>
    <w:rsid w:val="0027291F"/>
    <w:rsid w:val="00273122"/>
    <w:rsid w:val="00274C01"/>
    <w:rsid w:val="00275CA7"/>
    <w:rsid w:val="002760E1"/>
    <w:rsid w:val="00277187"/>
    <w:rsid w:val="002801CC"/>
    <w:rsid w:val="0028047D"/>
    <w:rsid w:val="002807C2"/>
    <w:rsid w:val="00280DAA"/>
    <w:rsid w:val="0028129F"/>
    <w:rsid w:val="00281430"/>
    <w:rsid w:val="002816AE"/>
    <w:rsid w:val="00282034"/>
    <w:rsid w:val="0028302A"/>
    <w:rsid w:val="00283605"/>
    <w:rsid w:val="00283657"/>
    <w:rsid w:val="00283911"/>
    <w:rsid w:val="00284B7A"/>
    <w:rsid w:val="00285280"/>
    <w:rsid w:val="002859A9"/>
    <w:rsid w:val="00285A78"/>
    <w:rsid w:val="00286057"/>
    <w:rsid w:val="002863D7"/>
    <w:rsid w:val="0028671D"/>
    <w:rsid w:val="002868BF"/>
    <w:rsid w:val="00286E5C"/>
    <w:rsid w:val="00287685"/>
    <w:rsid w:val="00287ABA"/>
    <w:rsid w:val="00287CE5"/>
    <w:rsid w:val="0029071C"/>
    <w:rsid w:val="002922B1"/>
    <w:rsid w:val="00292866"/>
    <w:rsid w:val="00293FE5"/>
    <w:rsid w:val="002942B5"/>
    <w:rsid w:val="0029451C"/>
    <w:rsid w:val="00295077"/>
    <w:rsid w:val="002951E3"/>
    <w:rsid w:val="002957EA"/>
    <w:rsid w:val="002958C5"/>
    <w:rsid w:val="00295B4F"/>
    <w:rsid w:val="002961AD"/>
    <w:rsid w:val="00296419"/>
    <w:rsid w:val="00296A90"/>
    <w:rsid w:val="002970F8"/>
    <w:rsid w:val="00297108"/>
    <w:rsid w:val="002977A5"/>
    <w:rsid w:val="002A01E9"/>
    <w:rsid w:val="002A1E7A"/>
    <w:rsid w:val="002A23E2"/>
    <w:rsid w:val="002A2543"/>
    <w:rsid w:val="002A3DAA"/>
    <w:rsid w:val="002A4A0D"/>
    <w:rsid w:val="002A5610"/>
    <w:rsid w:val="002A58CE"/>
    <w:rsid w:val="002A76CC"/>
    <w:rsid w:val="002B05BD"/>
    <w:rsid w:val="002B139F"/>
    <w:rsid w:val="002B1B65"/>
    <w:rsid w:val="002B1E7C"/>
    <w:rsid w:val="002B23D4"/>
    <w:rsid w:val="002B27FA"/>
    <w:rsid w:val="002B2C52"/>
    <w:rsid w:val="002B2E91"/>
    <w:rsid w:val="002B2ED6"/>
    <w:rsid w:val="002B3C80"/>
    <w:rsid w:val="002B3E4F"/>
    <w:rsid w:val="002B42FF"/>
    <w:rsid w:val="002B4503"/>
    <w:rsid w:val="002B4B8D"/>
    <w:rsid w:val="002B4F36"/>
    <w:rsid w:val="002B6D28"/>
    <w:rsid w:val="002B7B56"/>
    <w:rsid w:val="002C0BC4"/>
    <w:rsid w:val="002C106C"/>
    <w:rsid w:val="002C1270"/>
    <w:rsid w:val="002C12A3"/>
    <w:rsid w:val="002C1866"/>
    <w:rsid w:val="002C1DDF"/>
    <w:rsid w:val="002C3258"/>
    <w:rsid w:val="002C45AE"/>
    <w:rsid w:val="002C79AD"/>
    <w:rsid w:val="002C7F1A"/>
    <w:rsid w:val="002D1447"/>
    <w:rsid w:val="002D15B8"/>
    <w:rsid w:val="002D1951"/>
    <w:rsid w:val="002D260F"/>
    <w:rsid w:val="002D3220"/>
    <w:rsid w:val="002D32ED"/>
    <w:rsid w:val="002D413D"/>
    <w:rsid w:val="002D50B1"/>
    <w:rsid w:val="002D637A"/>
    <w:rsid w:val="002D6B10"/>
    <w:rsid w:val="002D6CA4"/>
    <w:rsid w:val="002D7D27"/>
    <w:rsid w:val="002E021E"/>
    <w:rsid w:val="002E05BF"/>
    <w:rsid w:val="002E0E8D"/>
    <w:rsid w:val="002F036F"/>
    <w:rsid w:val="002F040F"/>
    <w:rsid w:val="002F0614"/>
    <w:rsid w:val="002F127C"/>
    <w:rsid w:val="002F19DC"/>
    <w:rsid w:val="002F1B81"/>
    <w:rsid w:val="002F213B"/>
    <w:rsid w:val="002F284C"/>
    <w:rsid w:val="002F365C"/>
    <w:rsid w:val="002F4916"/>
    <w:rsid w:val="002F4CE1"/>
    <w:rsid w:val="002F5156"/>
    <w:rsid w:val="002F5575"/>
    <w:rsid w:val="002F58DF"/>
    <w:rsid w:val="002F5E1A"/>
    <w:rsid w:val="002F6341"/>
    <w:rsid w:val="002F6791"/>
    <w:rsid w:val="002F6C60"/>
    <w:rsid w:val="002F7820"/>
    <w:rsid w:val="002F7863"/>
    <w:rsid w:val="002F7AEC"/>
    <w:rsid w:val="00300543"/>
    <w:rsid w:val="00300882"/>
    <w:rsid w:val="00300F22"/>
    <w:rsid w:val="00301CBB"/>
    <w:rsid w:val="00301D6B"/>
    <w:rsid w:val="00302674"/>
    <w:rsid w:val="00303C19"/>
    <w:rsid w:val="00304654"/>
    <w:rsid w:val="0030491A"/>
    <w:rsid w:val="00304A37"/>
    <w:rsid w:val="00304E29"/>
    <w:rsid w:val="00304FAC"/>
    <w:rsid w:val="00305519"/>
    <w:rsid w:val="003059C2"/>
    <w:rsid w:val="00305F61"/>
    <w:rsid w:val="00306E5E"/>
    <w:rsid w:val="003072A1"/>
    <w:rsid w:val="00310ED4"/>
    <w:rsid w:val="00311C5E"/>
    <w:rsid w:val="00311EE6"/>
    <w:rsid w:val="00312301"/>
    <w:rsid w:val="0031492A"/>
    <w:rsid w:val="00315F0D"/>
    <w:rsid w:val="003163DA"/>
    <w:rsid w:val="003166B8"/>
    <w:rsid w:val="00316C1A"/>
    <w:rsid w:val="00316FCE"/>
    <w:rsid w:val="00317CFF"/>
    <w:rsid w:val="003207BA"/>
    <w:rsid w:val="003211D2"/>
    <w:rsid w:val="00322A42"/>
    <w:rsid w:val="00322F4C"/>
    <w:rsid w:val="00323658"/>
    <w:rsid w:val="00323C73"/>
    <w:rsid w:val="00323DFE"/>
    <w:rsid w:val="00324351"/>
    <w:rsid w:val="0032461A"/>
    <w:rsid w:val="00326E66"/>
    <w:rsid w:val="00327788"/>
    <w:rsid w:val="003301B6"/>
    <w:rsid w:val="003308A1"/>
    <w:rsid w:val="00331141"/>
    <w:rsid w:val="00331300"/>
    <w:rsid w:val="003324E3"/>
    <w:rsid w:val="00332882"/>
    <w:rsid w:val="00332C40"/>
    <w:rsid w:val="00333943"/>
    <w:rsid w:val="00333A45"/>
    <w:rsid w:val="00334255"/>
    <w:rsid w:val="00334BBE"/>
    <w:rsid w:val="00335974"/>
    <w:rsid w:val="00335EE6"/>
    <w:rsid w:val="00336569"/>
    <w:rsid w:val="003368B6"/>
    <w:rsid w:val="003370D1"/>
    <w:rsid w:val="00337FF7"/>
    <w:rsid w:val="0034210B"/>
    <w:rsid w:val="003421DA"/>
    <w:rsid w:val="0034264A"/>
    <w:rsid w:val="0034291C"/>
    <w:rsid w:val="0034386A"/>
    <w:rsid w:val="00343F50"/>
    <w:rsid w:val="003440EF"/>
    <w:rsid w:val="00344758"/>
    <w:rsid w:val="00344811"/>
    <w:rsid w:val="00344A96"/>
    <w:rsid w:val="00344B17"/>
    <w:rsid w:val="00344BAE"/>
    <w:rsid w:val="003458BE"/>
    <w:rsid w:val="00345B61"/>
    <w:rsid w:val="00345C23"/>
    <w:rsid w:val="00346D2E"/>
    <w:rsid w:val="00347142"/>
    <w:rsid w:val="00347F9A"/>
    <w:rsid w:val="003500AB"/>
    <w:rsid w:val="003500B8"/>
    <w:rsid w:val="00350442"/>
    <w:rsid w:val="0035044E"/>
    <w:rsid w:val="00350ADF"/>
    <w:rsid w:val="003524CF"/>
    <w:rsid w:val="00352795"/>
    <w:rsid w:val="0035287A"/>
    <w:rsid w:val="00352B22"/>
    <w:rsid w:val="00352B3C"/>
    <w:rsid w:val="00352C53"/>
    <w:rsid w:val="00353B5A"/>
    <w:rsid w:val="00353E51"/>
    <w:rsid w:val="00354C7E"/>
    <w:rsid w:val="00355347"/>
    <w:rsid w:val="003557C8"/>
    <w:rsid w:val="003565A8"/>
    <w:rsid w:val="003566EA"/>
    <w:rsid w:val="003568FF"/>
    <w:rsid w:val="0035761D"/>
    <w:rsid w:val="003604A7"/>
    <w:rsid w:val="0036086D"/>
    <w:rsid w:val="00361067"/>
    <w:rsid w:val="00361F20"/>
    <w:rsid w:val="003634AA"/>
    <w:rsid w:val="00364250"/>
    <w:rsid w:val="00364324"/>
    <w:rsid w:val="00365080"/>
    <w:rsid w:val="003660D7"/>
    <w:rsid w:val="00367CA6"/>
    <w:rsid w:val="003701B7"/>
    <w:rsid w:val="00370CC3"/>
    <w:rsid w:val="00370D5B"/>
    <w:rsid w:val="003715B1"/>
    <w:rsid w:val="00371E40"/>
    <w:rsid w:val="00372C79"/>
    <w:rsid w:val="00372E71"/>
    <w:rsid w:val="00373CC8"/>
    <w:rsid w:val="003740AF"/>
    <w:rsid w:val="0037469E"/>
    <w:rsid w:val="00375760"/>
    <w:rsid w:val="003759A3"/>
    <w:rsid w:val="0037660D"/>
    <w:rsid w:val="003768F3"/>
    <w:rsid w:val="00376A11"/>
    <w:rsid w:val="00380181"/>
    <w:rsid w:val="003811C1"/>
    <w:rsid w:val="0038378E"/>
    <w:rsid w:val="00383B6C"/>
    <w:rsid w:val="0038412D"/>
    <w:rsid w:val="00384C3B"/>
    <w:rsid w:val="0038503A"/>
    <w:rsid w:val="00385052"/>
    <w:rsid w:val="00385C7D"/>
    <w:rsid w:val="00385E4C"/>
    <w:rsid w:val="003868D6"/>
    <w:rsid w:val="00387955"/>
    <w:rsid w:val="00387DE1"/>
    <w:rsid w:val="003900D1"/>
    <w:rsid w:val="003900F3"/>
    <w:rsid w:val="0039083A"/>
    <w:rsid w:val="00390D57"/>
    <w:rsid w:val="003937AC"/>
    <w:rsid w:val="00393887"/>
    <w:rsid w:val="00394E26"/>
    <w:rsid w:val="0039653E"/>
    <w:rsid w:val="00396F3A"/>
    <w:rsid w:val="003A000D"/>
    <w:rsid w:val="003A08FD"/>
    <w:rsid w:val="003A0CD8"/>
    <w:rsid w:val="003A2841"/>
    <w:rsid w:val="003A29D9"/>
    <w:rsid w:val="003A2E8F"/>
    <w:rsid w:val="003A2F4E"/>
    <w:rsid w:val="003A3C40"/>
    <w:rsid w:val="003A4576"/>
    <w:rsid w:val="003A4C96"/>
    <w:rsid w:val="003A5454"/>
    <w:rsid w:val="003A559E"/>
    <w:rsid w:val="003A7CD4"/>
    <w:rsid w:val="003B0343"/>
    <w:rsid w:val="003B0BEC"/>
    <w:rsid w:val="003B1BD0"/>
    <w:rsid w:val="003B31CB"/>
    <w:rsid w:val="003B3278"/>
    <w:rsid w:val="003B3AD3"/>
    <w:rsid w:val="003B3C55"/>
    <w:rsid w:val="003B40D5"/>
    <w:rsid w:val="003B450B"/>
    <w:rsid w:val="003B6637"/>
    <w:rsid w:val="003B7FC0"/>
    <w:rsid w:val="003C0214"/>
    <w:rsid w:val="003C0D0B"/>
    <w:rsid w:val="003C1101"/>
    <w:rsid w:val="003C1818"/>
    <w:rsid w:val="003C20ED"/>
    <w:rsid w:val="003C2B78"/>
    <w:rsid w:val="003C2C4F"/>
    <w:rsid w:val="003C31F1"/>
    <w:rsid w:val="003C363F"/>
    <w:rsid w:val="003C3694"/>
    <w:rsid w:val="003C4FC8"/>
    <w:rsid w:val="003C59E5"/>
    <w:rsid w:val="003C5DF4"/>
    <w:rsid w:val="003C62EB"/>
    <w:rsid w:val="003C675B"/>
    <w:rsid w:val="003C7773"/>
    <w:rsid w:val="003C7CDE"/>
    <w:rsid w:val="003D00A3"/>
    <w:rsid w:val="003D0267"/>
    <w:rsid w:val="003D033C"/>
    <w:rsid w:val="003D0947"/>
    <w:rsid w:val="003D09AC"/>
    <w:rsid w:val="003D113B"/>
    <w:rsid w:val="003D2C09"/>
    <w:rsid w:val="003D3484"/>
    <w:rsid w:val="003D367B"/>
    <w:rsid w:val="003D472C"/>
    <w:rsid w:val="003D4EE8"/>
    <w:rsid w:val="003D505D"/>
    <w:rsid w:val="003D517A"/>
    <w:rsid w:val="003D6408"/>
    <w:rsid w:val="003D7035"/>
    <w:rsid w:val="003E0408"/>
    <w:rsid w:val="003E05FB"/>
    <w:rsid w:val="003E06E3"/>
    <w:rsid w:val="003E2257"/>
    <w:rsid w:val="003E7938"/>
    <w:rsid w:val="003F1060"/>
    <w:rsid w:val="003F1642"/>
    <w:rsid w:val="003F2B1F"/>
    <w:rsid w:val="003F37B1"/>
    <w:rsid w:val="003F38E9"/>
    <w:rsid w:val="003F44AF"/>
    <w:rsid w:val="003F476A"/>
    <w:rsid w:val="004018B1"/>
    <w:rsid w:val="004018B5"/>
    <w:rsid w:val="00403346"/>
    <w:rsid w:val="00403A17"/>
    <w:rsid w:val="00403AC9"/>
    <w:rsid w:val="00403D9D"/>
    <w:rsid w:val="00404C33"/>
    <w:rsid w:val="00404D1E"/>
    <w:rsid w:val="00404E2C"/>
    <w:rsid w:val="00404EDF"/>
    <w:rsid w:val="00404FA0"/>
    <w:rsid w:val="0040522D"/>
    <w:rsid w:val="00406B2F"/>
    <w:rsid w:val="0040721F"/>
    <w:rsid w:val="0041006F"/>
    <w:rsid w:val="004108D3"/>
    <w:rsid w:val="00410AEE"/>
    <w:rsid w:val="004113D6"/>
    <w:rsid w:val="004125C8"/>
    <w:rsid w:val="00412F32"/>
    <w:rsid w:val="00413F72"/>
    <w:rsid w:val="004157A9"/>
    <w:rsid w:val="00415C91"/>
    <w:rsid w:val="004165AF"/>
    <w:rsid w:val="00420008"/>
    <w:rsid w:val="00422417"/>
    <w:rsid w:val="004228B7"/>
    <w:rsid w:val="00424233"/>
    <w:rsid w:val="00424719"/>
    <w:rsid w:val="00424DB5"/>
    <w:rsid w:val="00424E63"/>
    <w:rsid w:val="0042515C"/>
    <w:rsid w:val="004254E7"/>
    <w:rsid w:val="0042606B"/>
    <w:rsid w:val="0042688D"/>
    <w:rsid w:val="0042729D"/>
    <w:rsid w:val="0043042B"/>
    <w:rsid w:val="00432FBE"/>
    <w:rsid w:val="0043324D"/>
    <w:rsid w:val="0043473B"/>
    <w:rsid w:val="00435168"/>
    <w:rsid w:val="004353EE"/>
    <w:rsid w:val="00435F5F"/>
    <w:rsid w:val="004405F9"/>
    <w:rsid w:val="004413AE"/>
    <w:rsid w:val="004413E2"/>
    <w:rsid w:val="0044294E"/>
    <w:rsid w:val="00442BEC"/>
    <w:rsid w:val="00442C95"/>
    <w:rsid w:val="00443150"/>
    <w:rsid w:val="00443F03"/>
    <w:rsid w:val="00444578"/>
    <w:rsid w:val="004448FE"/>
    <w:rsid w:val="004468C7"/>
    <w:rsid w:val="0044717C"/>
    <w:rsid w:val="0044757E"/>
    <w:rsid w:val="0044798E"/>
    <w:rsid w:val="00450F52"/>
    <w:rsid w:val="00450F61"/>
    <w:rsid w:val="004514DC"/>
    <w:rsid w:val="00451709"/>
    <w:rsid w:val="00452E5A"/>
    <w:rsid w:val="00452F50"/>
    <w:rsid w:val="00453AEB"/>
    <w:rsid w:val="00453C20"/>
    <w:rsid w:val="00454F98"/>
    <w:rsid w:val="00455CCB"/>
    <w:rsid w:val="004563B0"/>
    <w:rsid w:val="00456FCA"/>
    <w:rsid w:val="00457257"/>
    <w:rsid w:val="00461122"/>
    <w:rsid w:val="0046132D"/>
    <w:rsid w:val="00461373"/>
    <w:rsid w:val="00461BF7"/>
    <w:rsid w:val="00463070"/>
    <w:rsid w:val="00463ADD"/>
    <w:rsid w:val="00464859"/>
    <w:rsid w:val="00464FF1"/>
    <w:rsid w:val="00465BAD"/>
    <w:rsid w:val="00467433"/>
    <w:rsid w:val="00467C74"/>
    <w:rsid w:val="0047023C"/>
    <w:rsid w:val="004707A5"/>
    <w:rsid w:val="00471A29"/>
    <w:rsid w:val="004724EA"/>
    <w:rsid w:val="0047251D"/>
    <w:rsid w:val="00472E36"/>
    <w:rsid w:val="00472EFF"/>
    <w:rsid w:val="00472F4B"/>
    <w:rsid w:val="004734E7"/>
    <w:rsid w:val="00473AAF"/>
    <w:rsid w:val="00474063"/>
    <w:rsid w:val="0047520E"/>
    <w:rsid w:val="004766C2"/>
    <w:rsid w:val="00476793"/>
    <w:rsid w:val="00476CC0"/>
    <w:rsid w:val="00477790"/>
    <w:rsid w:val="00480AA1"/>
    <w:rsid w:val="0048150D"/>
    <w:rsid w:val="00481623"/>
    <w:rsid w:val="00481AAE"/>
    <w:rsid w:val="004826A8"/>
    <w:rsid w:val="004826E1"/>
    <w:rsid w:val="00482732"/>
    <w:rsid w:val="00482DDE"/>
    <w:rsid w:val="00483956"/>
    <w:rsid w:val="00483DD7"/>
    <w:rsid w:val="00483FA6"/>
    <w:rsid w:val="004849DC"/>
    <w:rsid w:val="00485777"/>
    <w:rsid w:val="004859F8"/>
    <w:rsid w:val="00486201"/>
    <w:rsid w:val="00486439"/>
    <w:rsid w:val="0048677A"/>
    <w:rsid w:val="00487EA8"/>
    <w:rsid w:val="00490162"/>
    <w:rsid w:val="004917B9"/>
    <w:rsid w:val="00493368"/>
    <w:rsid w:val="004940F4"/>
    <w:rsid w:val="004941F8"/>
    <w:rsid w:val="00494FCE"/>
    <w:rsid w:val="004957F4"/>
    <w:rsid w:val="00495DFE"/>
    <w:rsid w:val="004961BA"/>
    <w:rsid w:val="00496445"/>
    <w:rsid w:val="004A0C74"/>
    <w:rsid w:val="004A1640"/>
    <w:rsid w:val="004A187B"/>
    <w:rsid w:val="004A2D3C"/>
    <w:rsid w:val="004A385C"/>
    <w:rsid w:val="004A3F44"/>
    <w:rsid w:val="004A43F4"/>
    <w:rsid w:val="004A45AD"/>
    <w:rsid w:val="004A4641"/>
    <w:rsid w:val="004A4777"/>
    <w:rsid w:val="004A47EE"/>
    <w:rsid w:val="004A4CC9"/>
    <w:rsid w:val="004A4E0A"/>
    <w:rsid w:val="004A6E95"/>
    <w:rsid w:val="004B00B1"/>
    <w:rsid w:val="004B24F3"/>
    <w:rsid w:val="004B2994"/>
    <w:rsid w:val="004B2E47"/>
    <w:rsid w:val="004B2E7F"/>
    <w:rsid w:val="004B3BCD"/>
    <w:rsid w:val="004B3F14"/>
    <w:rsid w:val="004B46B4"/>
    <w:rsid w:val="004B5581"/>
    <w:rsid w:val="004B5C38"/>
    <w:rsid w:val="004B6B7E"/>
    <w:rsid w:val="004B6C26"/>
    <w:rsid w:val="004B7FBF"/>
    <w:rsid w:val="004C06D2"/>
    <w:rsid w:val="004C0B19"/>
    <w:rsid w:val="004C14D3"/>
    <w:rsid w:val="004C1FE1"/>
    <w:rsid w:val="004C282D"/>
    <w:rsid w:val="004C3276"/>
    <w:rsid w:val="004C341D"/>
    <w:rsid w:val="004C411F"/>
    <w:rsid w:val="004C46A4"/>
    <w:rsid w:val="004C5899"/>
    <w:rsid w:val="004C6B19"/>
    <w:rsid w:val="004C6B4D"/>
    <w:rsid w:val="004C7412"/>
    <w:rsid w:val="004C7D50"/>
    <w:rsid w:val="004D04BF"/>
    <w:rsid w:val="004D0D84"/>
    <w:rsid w:val="004D2599"/>
    <w:rsid w:val="004D267F"/>
    <w:rsid w:val="004D2F5F"/>
    <w:rsid w:val="004D32B6"/>
    <w:rsid w:val="004D3B50"/>
    <w:rsid w:val="004D5C2E"/>
    <w:rsid w:val="004D5CBE"/>
    <w:rsid w:val="004D6E55"/>
    <w:rsid w:val="004D7461"/>
    <w:rsid w:val="004E08B7"/>
    <w:rsid w:val="004E0A3F"/>
    <w:rsid w:val="004E0AD5"/>
    <w:rsid w:val="004E0DFF"/>
    <w:rsid w:val="004E0ED8"/>
    <w:rsid w:val="004E0F61"/>
    <w:rsid w:val="004E274A"/>
    <w:rsid w:val="004E295E"/>
    <w:rsid w:val="004E2EE9"/>
    <w:rsid w:val="004E353E"/>
    <w:rsid w:val="004E36CC"/>
    <w:rsid w:val="004E374C"/>
    <w:rsid w:val="004E3D54"/>
    <w:rsid w:val="004E53DD"/>
    <w:rsid w:val="004E5CDB"/>
    <w:rsid w:val="004E62CD"/>
    <w:rsid w:val="004E683C"/>
    <w:rsid w:val="004E6E56"/>
    <w:rsid w:val="004E6FE3"/>
    <w:rsid w:val="004E7936"/>
    <w:rsid w:val="004E7B41"/>
    <w:rsid w:val="004F0598"/>
    <w:rsid w:val="004F063C"/>
    <w:rsid w:val="004F06AE"/>
    <w:rsid w:val="004F1533"/>
    <w:rsid w:val="004F1C7C"/>
    <w:rsid w:val="004F2356"/>
    <w:rsid w:val="004F2A29"/>
    <w:rsid w:val="004F4F26"/>
    <w:rsid w:val="004F51F3"/>
    <w:rsid w:val="004F570E"/>
    <w:rsid w:val="004F598C"/>
    <w:rsid w:val="004F5A8F"/>
    <w:rsid w:val="004F5D0B"/>
    <w:rsid w:val="004F7A24"/>
    <w:rsid w:val="00500DBC"/>
    <w:rsid w:val="0050108A"/>
    <w:rsid w:val="00502102"/>
    <w:rsid w:val="00502103"/>
    <w:rsid w:val="00502326"/>
    <w:rsid w:val="005024FF"/>
    <w:rsid w:val="00503028"/>
    <w:rsid w:val="005031CF"/>
    <w:rsid w:val="00503B6A"/>
    <w:rsid w:val="00503B80"/>
    <w:rsid w:val="005074FC"/>
    <w:rsid w:val="00507695"/>
    <w:rsid w:val="00507B56"/>
    <w:rsid w:val="00507EA8"/>
    <w:rsid w:val="0051067A"/>
    <w:rsid w:val="00511A92"/>
    <w:rsid w:val="00511DFD"/>
    <w:rsid w:val="00512153"/>
    <w:rsid w:val="005123F0"/>
    <w:rsid w:val="00512666"/>
    <w:rsid w:val="00512931"/>
    <w:rsid w:val="00512D00"/>
    <w:rsid w:val="00513450"/>
    <w:rsid w:val="00513540"/>
    <w:rsid w:val="00513941"/>
    <w:rsid w:val="00513988"/>
    <w:rsid w:val="0051426C"/>
    <w:rsid w:val="005148C3"/>
    <w:rsid w:val="00514C91"/>
    <w:rsid w:val="00515267"/>
    <w:rsid w:val="00515951"/>
    <w:rsid w:val="00515D8E"/>
    <w:rsid w:val="00516499"/>
    <w:rsid w:val="00516942"/>
    <w:rsid w:val="005177A8"/>
    <w:rsid w:val="005205B6"/>
    <w:rsid w:val="00521646"/>
    <w:rsid w:val="005225D8"/>
    <w:rsid w:val="005236D7"/>
    <w:rsid w:val="00523B82"/>
    <w:rsid w:val="0052518A"/>
    <w:rsid w:val="00525DFB"/>
    <w:rsid w:val="00526212"/>
    <w:rsid w:val="00526F00"/>
    <w:rsid w:val="005271C7"/>
    <w:rsid w:val="005276F7"/>
    <w:rsid w:val="0053051D"/>
    <w:rsid w:val="00530CCC"/>
    <w:rsid w:val="00531318"/>
    <w:rsid w:val="005316B2"/>
    <w:rsid w:val="0053191D"/>
    <w:rsid w:val="00532293"/>
    <w:rsid w:val="00532695"/>
    <w:rsid w:val="0053295C"/>
    <w:rsid w:val="00532E4F"/>
    <w:rsid w:val="005333EA"/>
    <w:rsid w:val="005338FC"/>
    <w:rsid w:val="005344FC"/>
    <w:rsid w:val="00534801"/>
    <w:rsid w:val="00534AB5"/>
    <w:rsid w:val="00534B9D"/>
    <w:rsid w:val="00535399"/>
    <w:rsid w:val="0053541F"/>
    <w:rsid w:val="00536153"/>
    <w:rsid w:val="00536B44"/>
    <w:rsid w:val="00536C59"/>
    <w:rsid w:val="00536CFA"/>
    <w:rsid w:val="00536ED8"/>
    <w:rsid w:val="00537496"/>
    <w:rsid w:val="00540115"/>
    <w:rsid w:val="00540761"/>
    <w:rsid w:val="00542A5F"/>
    <w:rsid w:val="00542CB3"/>
    <w:rsid w:val="00542E19"/>
    <w:rsid w:val="00543861"/>
    <w:rsid w:val="0054401B"/>
    <w:rsid w:val="00544907"/>
    <w:rsid w:val="005455B1"/>
    <w:rsid w:val="00545CA2"/>
    <w:rsid w:val="00546E84"/>
    <w:rsid w:val="00546EDF"/>
    <w:rsid w:val="00547A42"/>
    <w:rsid w:val="00547E74"/>
    <w:rsid w:val="0055036E"/>
    <w:rsid w:val="0055051A"/>
    <w:rsid w:val="00550D53"/>
    <w:rsid w:val="00551F33"/>
    <w:rsid w:val="00552E30"/>
    <w:rsid w:val="00552E37"/>
    <w:rsid w:val="005535E4"/>
    <w:rsid w:val="005550BF"/>
    <w:rsid w:val="0055539B"/>
    <w:rsid w:val="00556199"/>
    <w:rsid w:val="00557158"/>
    <w:rsid w:val="005573E5"/>
    <w:rsid w:val="00557B4B"/>
    <w:rsid w:val="00557D8F"/>
    <w:rsid w:val="00557F0E"/>
    <w:rsid w:val="0056024C"/>
    <w:rsid w:val="00561440"/>
    <w:rsid w:val="00561A6B"/>
    <w:rsid w:val="0056229C"/>
    <w:rsid w:val="00562729"/>
    <w:rsid w:val="00564208"/>
    <w:rsid w:val="0056453B"/>
    <w:rsid w:val="00564651"/>
    <w:rsid w:val="00564D06"/>
    <w:rsid w:val="00564D28"/>
    <w:rsid w:val="005650C0"/>
    <w:rsid w:val="00565742"/>
    <w:rsid w:val="005659CE"/>
    <w:rsid w:val="005662BC"/>
    <w:rsid w:val="00566898"/>
    <w:rsid w:val="005669E9"/>
    <w:rsid w:val="00566C35"/>
    <w:rsid w:val="00567C0D"/>
    <w:rsid w:val="00570E1A"/>
    <w:rsid w:val="00571039"/>
    <w:rsid w:val="005717D9"/>
    <w:rsid w:val="00571CEB"/>
    <w:rsid w:val="0057279E"/>
    <w:rsid w:val="005727B2"/>
    <w:rsid w:val="005727E6"/>
    <w:rsid w:val="0057283F"/>
    <w:rsid w:val="0057287B"/>
    <w:rsid w:val="005733F9"/>
    <w:rsid w:val="00573C7B"/>
    <w:rsid w:val="00573D5D"/>
    <w:rsid w:val="0057444E"/>
    <w:rsid w:val="005745DE"/>
    <w:rsid w:val="00574930"/>
    <w:rsid w:val="00577BB6"/>
    <w:rsid w:val="005806D6"/>
    <w:rsid w:val="005808D0"/>
    <w:rsid w:val="005809E8"/>
    <w:rsid w:val="005821BB"/>
    <w:rsid w:val="0058227C"/>
    <w:rsid w:val="00582967"/>
    <w:rsid w:val="00583098"/>
    <w:rsid w:val="00584051"/>
    <w:rsid w:val="00584967"/>
    <w:rsid w:val="00585E6E"/>
    <w:rsid w:val="0058671B"/>
    <w:rsid w:val="00586BF7"/>
    <w:rsid w:val="00586C4F"/>
    <w:rsid w:val="00587501"/>
    <w:rsid w:val="005876AD"/>
    <w:rsid w:val="00591340"/>
    <w:rsid w:val="005914C5"/>
    <w:rsid w:val="00591951"/>
    <w:rsid w:val="00592C3B"/>
    <w:rsid w:val="005931AA"/>
    <w:rsid w:val="00593366"/>
    <w:rsid w:val="0059462E"/>
    <w:rsid w:val="005946CA"/>
    <w:rsid w:val="00594855"/>
    <w:rsid w:val="00594FD2"/>
    <w:rsid w:val="00595786"/>
    <w:rsid w:val="00595FD7"/>
    <w:rsid w:val="00596579"/>
    <w:rsid w:val="0059683E"/>
    <w:rsid w:val="00596CDA"/>
    <w:rsid w:val="005975B7"/>
    <w:rsid w:val="005A04F1"/>
    <w:rsid w:val="005A07F2"/>
    <w:rsid w:val="005A0A32"/>
    <w:rsid w:val="005A1050"/>
    <w:rsid w:val="005A10A9"/>
    <w:rsid w:val="005A1E3B"/>
    <w:rsid w:val="005A26CE"/>
    <w:rsid w:val="005A4FE8"/>
    <w:rsid w:val="005A508E"/>
    <w:rsid w:val="005A5A58"/>
    <w:rsid w:val="005A6A4B"/>
    <w:rsid w:val="005A6CF7"/>
    <w:rsid w:val="005A7AD9"/>
    <w:rsid w:val="005B0316"/>
    <w:rsid w:val="005B0A7F"/>
    <w:rsid w:val="005B1E3E"/>
    <w:rsid w:val="005B28C2"/>
    <w:rsid w:val="005B503C"/>
    <w:rsid w:val="005B5594"/>
    <w:rsid w:val="005B581A"/>
    <w:rsid w:val="005B626B"/>
    <w:rsid w:val="005B6796"/>
    <w:rsid w:val="005B6BEE"/>
    <w:rsid w:val="005B79EE"/>
    <w:rsid w:val="005B7B4A"/>
    <w:rsid w:val="005B7CB0"/>
    <w:rsid w:val="005C1755"/>
    <w:rsid w:val="005C2598"/>
    <w:rsid w:val="005C2A61"/>
    <w:rsid w:val="005C4178"/>
    <w:rsid w:val="005C48B6"/>
    <w:rsid w:val="005C4C41"/>
    <w:rsid w:val="005C5532"/>
    <w:rsid w:val="005C5D41"/>
    <w:rsid w:val="005C6466"/>
    <w:rsid w:val="005C6ABA"/>
    <w:rsid w:val="005C73F8"/>
    <w:rsid w:val="005C75A9"/>
    <w:rsid w:val="005C7BE0"/>
    <w:rsid w:val="005D1223"/>
    <w:rsid w:val="005D1EF9"/>
    <w:rsid w:val="005D1F34"/>
    <w:rsid w:val="005D2F85"/>
    <w:rsid w:val="005D352C"/>
    <w:rsid w:val="005D383D"/>
    <w:rsid w:val="005D3CBF"/>
    <w:rsid w:val="005D403F"/>
    <w:rsid w:val="005D5280"/>
    <w:rsid w:val="005D538B"/>
    <w:rsid w:val="005D57C5"/>
    <w:rsid w:val="005D5E31"/>
    <w:rsid w:val="005D6913"/>
    <w:rsid w:val="005D727C"/>
    <w:rsid w:val="005D792B"/>
    <w:rsid w:val="005E0638"/>
    <w:rsid w:val="005E09F4"/>
    <w:rsid w:val="005E0E6D"/>
    <w:rsid w:val="005E11A1"/>
    <w:rsid w:val="005E1F5E"/>
    <w:rsid w:val="005E2B2D"/>
    <w:rsid w:val="005E2E8B"/>
    <w:rsid w:val="005E38EB"/>
    <w:rsid w:val="005E4651"/>
    <w:rsid w:val="005E53EB"/>
    <w:rsid w:val="005E5B11"/>
    <w:rsid w:val="005E5D76"/>
    <w:rsid w:val="005E7655"/>
    <w:rsid w:val="005E7EC2"/>
    <w:rsid w:val="005F0CDF"/>
    <w:rsid w:val="005F169A"/>
    <w:rsid w:val="005F1EA1"/>
    <w:rsid w:val="005F2568"/>
    <w:rsid w:val="005F28D3"/>
    <w:rsid w:val="005F2EBC"/>
    <w:rsid w:val="005F31B6"/>
    <w:rsid w:val="005F3354"/>
    <w:rsid w:val="005F4B0C"/>
    <w:rsid w:val="005F4B79"/>
    <w:rsid w:val="005F573A"/>
    <w:rsid w:val="005F5B84"/>
    <w:rsid w:val="005F5B8E"/>
    <w:rsid w:val="005F63AA"/>
    <w:rsid w:val="005F6D4E"/>
    <w:rsid w:val="005F6F3E"/>
    <w:rsid w:val="005F70AF"/>
    <w:rsid w:val="005F750D"/>
    <w:rsid w:val="005F769C"/>
    <w:rsid w:val="005F7AC2"/>
    <w:rsid w:val="00600777"/>
    <w:rsid w:val="00601332"/>
    <w:rsid w:val="006018B7"/>
    <w:rsid w:val="00601DD7"/>
    <w:rsid w:val="0060209A"/>
    <w:rsid w:val="006020E2"/>
    <w:rsid w:val="00602105"/>
    <w:rsid w:val="00603F02"/>
    <w:rsid w:val="00604058"/>
    <w:rsid w:val="00604122"/>
    <w:rsid w:val="006042A8"/>
    <w:rsid w:val="00604623"/>
    <w:rsid w:val="00604D95"/>
    <w:rsid w:val="006054C2"/>
    <w:rsid w:val="0060599A"/>
    <w:rsid w:val="00605FA1"/>
    <w:rsid w:val="00606FE8"/>
    <w:rsid w:val="00607585"/>
    <w:rsid w:val="00607EC3"/>
    <w:rsid w:val="00612016"/>
    <w:rsid w:val="0061232F"/>
    <w:rsid w:val="006123F1"/>
    <w:rsid w:val="00612EF0"/>
    <w:rsid w:val="00613D99"/>
    <w:rsid w:val="0061423C"/>
    <w:rsid w:val="0061425E"/>
    <w:rsid w:val="00614CC5"/>
    <w:rsid w:val="00614F2B"/>
    <w:rsid w:val="006151B7"/>
    <w:rsid w:val="00615449"/>
    <w:rsid w:val="00616213"/>
    <w:rsid w:val="00616B2A"/>
    <w:rsid w:val="00616F7E"/>
    <w:rsid w:val="00617796"/>
    <w:rsid w:val="006215C9"/>
    <w:rsid w:val="006216F8"/>
    <w:rsid w:val="00621817"/>
    <w:rsid w:val="00621B94"/>
    <w:rsid w:val="0062251E"/>
    <w:rsid w:val="00622A96"/>
    <w:rsid w:val="006234A0"/>
    <w:rsid w:val="00623EE2"/>
    <w:rsid w:val="00624180"/>
    <w:rsid w:val="006244CB"/>
    <w:rsid w:val="00625845"/>
    <w:rsid w:val="0062607C"/>
    <w:rsid w:val="006261D5"/>
    <w:rsid w:val="00626A38"/>
    <w:rsid w:val="00627EA1"/>
    <w:rsid w:val="0063087C"/>
    <w:rsid w:val="00630D4C"/>
    <w:rsid w:val="00631EB0"/>
    <w:rsid w:val="00633C7C"/>
    <w:rsid w:val="00634520"/>
    <w:rsid w:val="00634AFC"/>
    <w:rsid w:val="00637A3A"/>
    <w:rsid w:val="006404A8"/>
    <w:rsid w:val="006409E0"/>
    <w:rsid w:val="00640AA5"/>
    <w:rsid w:val="00640F23"/>
    <w:rsid w:val="0064241D"/>
    <w:rsid w:val="0064296E"/>
    <w:rsid w:val="00643B56"/>
    <w:rsid w:val="006445E9"/>
    <w:rsid w:val="006447BA"/>
    <w:rsid w:val="00645B2B"/>
    <w:rsid w:val="00645FC7"/>
    <w:rsid w:val="006467EC"/>
    <w:rsid w:val="00650231"/>
    <w:rsid w:val="00650D50"/>
    <w:rsid w:val="006521B8"/>
    <w:rsid w:val="0065300A"/>
    <w:rsid w:val="00653802"/>
    <w:rsid w:val="00653EFD"/>
    <w:rsid w:val="00654576"/>
    <w:rsid w:val="00654793"/>
    <w:rsid w:val="00656DE2"/>
    <w:rsid w:val="00660021"/>
    <w:rsid w:val="006613D3"/>
    <w:rsid w:val="006623FF"/>
    <w:rsid w:val="006630D0"/>
    <w:rsid w:val="0066328A"/>
    <w:rsid w:val="0066369E"/>
    <w:rsid w:val="00663A10"/>
    <w:rsid w:val="00663FF6"/>
    <w:rsid w:val="00664FB0"/>
    <w:rsid w:val="0066543C"/>
    <w:rsid w:val="00665BEB"/>
    <w:rsid w:val="006664C9"/>
    <w:rsid w:val="00666A4A"/>
    <w:rsid w:val="00666F11"/>
    <w:rsid w:val="00667010"/>
    <w:rsid w:val="006670D0"/>
    <w:rsid w:val="00667420"/>
    <w:rsid w:val="00667956"/>
    <w:rsid w:val="00667EB7"/>
    <w:rsid w:val="00670AB9"/>
    <w:rsid w:val="00670BC5"/>
    <w:rsid w:val="006711D5"/>
    <w:rsid w:val="0067242A"/>
    <w:rsid w:val="006729D2"/>
    <w:rsid w:val="0067375E"/>
    <w:rsid w:val="00673BC8"/>
    <w:rsid w:val="00674C27"/>
    <w:rsid w:val="00674D98"/>
    <w:rsid w:val="00675F3D"/>
    <w:rsid w:val="00676612"/>
    <w:rsid w:val="00676861"/>
    <w:rsid w:val="00676E80"/>
    <w:rsid w:val="00677522"/>
    <w:rsid w:val="00677A62"/>
    <w:rsid w:val="00680197"/>
    <w:rsid w:val="0068030A"/>
    <w:rsid w:val="006806FF"/>
    <w:rsid w:val="006814D1"/>
    <w:rsid w:val="00682B9C"/>
    <w:rsid w:val="00682BEE"/>
    <w:rsid w:val="006830AA"/>
    <w:rsid w:val="00683FF8"/>
    <w:rsid w:val="00685A9A"/>
    <w:rsid w:val="006863A9"/>
    <w:rsid w:val="00686613"/>
    <w:rsid w:val="00687DCB"/>
    <w:rsid w:val="00690E19"/>
    <w:rsid w:val="00691100"/>
    <w:rsid w:val="00691386"/>
    <w:rsid w:val="0069150D"/>
    <w:rsid w:val="00691964"/>
    <w:rsid w:val="006919C8"/>
    <w:rsid w:val="00691A77"/>
    <w:rsid w:val="00692067"/>
    <w:rsid w:val="00692650"/>
    <w:rsid w:val="0069285D"/>
    <w:rsid w:val="006928F6"/>
    <w:rsid w:val="0069312C"/>
    <w:rsid w:val="0069327F"/>
    <w:rsid w:val="00694032"/>
    <w:rsid w:val="006952CE"/>
    <w:rsid w:val="00695465"/>
    <w:rsid w:val="006955CE"/>
    <w:rsid w:val="006A26E5"/>
    <w:rsid w:val="006A33AA"/>
    <w:rsid w:val="006A39CD"/>
    <w:rsid w:val="006A40DB"/>
    <w:rsid w:val="006A4470"/>
    <w:rsid w:val="006A4D75"/>
    <w:rsid w:val="006A4E44"/>
    <w:rsid w:val="006A59F2"/>
    <w:rsid w:val="006A5BC7"/>
    <w:rsid w:val="006A5F1C"/>
    <w:rsid w:val="006A6335"/>
    <w:rsid w:val="006A6924"/>
    <w:rsid w:val="006A6BB3"/>
    <w:rsid w:val="006B01FD"/>
    <w:rsid w:val="006B10F2"/>
    <w:rsid w:val="006B16D1"/>
    <w:rsid w:val="006B1B68"/>
    <w:rsid w:val="006B1FA4"/>
    <w:rsid w:val="006B3ED7"/>
    <w:rsid w:val="006B6842"/>
    <w:rsid w:val="006B6A42"/>
    <w:rsid w:val="006B6AE4"/>
    <w:rsid w:val="006B6B16"/>
    <w:rsid w:val="006B6E3D"/>
    <w:rsid w:val="006B744F"/>
    <w:rsid w:val="006B7E11"/>
    <w:rsid w:val="006C0A02"/>
    <w:rsid w:val="006C0DE9"/>
    <w:rsid w:val="006C1321"/>
    <w:rsid w:val="006C209A"/>
    <w:rsid w:val="006C22CA"/>
    <w:rsid w:val="006C2B7B"/>
    <w:rsid w:val="006C3B1D"/>
    <w:rsid w:val="006C5369"/>
    <w:rsid w:val="006C5379"/>
    <w:rsid w:val="006C542B"/>
    <w:rsid w:val="006C5F29"/>
    <w:rsid w:val="006C6CAF"/>
    <w:rsid w:val="006C6DF5"/>
    <w:rsid w:val="006C7D7E"/>
    <w:rsid w:val="006D0D2A"/>
    <w:rsid w:val="006D17EB"/>
    <w:rsid w:val="006D195D"/>
    <w:rsid w:val="006D2724"/>
    <w:rsid w:val="006D29D2"/>
    <w:rsid w:val="006D3DEF"/>
    <w:rsid w:val="006D5D08"/>
    <w:rsid w:val="006D5EE5"/>
    <w:rsid w:val="006D5F57"/>
    <w:rsid w:val="006D67C6"/>
    <w:rsid w:val="006D7839"/>
    <w:rsid w:val="006E0383"/>
    <w:rsid w:val="006E081C"/>
    <w:rsid w:val="006E2625"/>
    <w:rsid w:val="006E2990"/>
    <w:rsid w:val="006E2E7A"/>
    <w:rsid w:val="006E36D9"/>
    <w:rsid w:val="006E41E4"/>
    <w:rsid w:val="006E4B81"/>
    <w:rsid w:val="006E5951"/>
    <w:rsid w:val="006E6121"/>
    <w:rsid w:val="006E6688"/>
    <w:rsid w:val="006E713B"/>
    <w:rsid w:val="006F0547"/>
    <w:rsid w:val="006F0F7F"/>
    <w:rsid w:val="006F113A"/>
    <w:rsid w:val="006F1627"/>
    <w:rsid w:val="006F1B57"/>
    <w:rsid w:val="006F2B70"/>
    <w:rsid w:val="006F2D3A"/>
    <w:rsid w:val="006F3A96"/>
    <w:rsid w:val="006F45A0"/>
    <w:rsid w:val="006F475C"/>
    <w:rsid w:val="006F4E9C"/>
    <w:rsid w:val="006F51F4"/>
    <w:rsid w:val="006F54E5"/>
    <w:rsid w:val="006F5C5B"/>
    <w:rsid w:val="006F6FC1"/>
    <w:rsid w:val="006F7F01"/>
    <w:rsid w:val="007000AE"/>
    <w:rsid w:val="00700D9E"/>
    <w:rsid w:val="00700F50"/>
    <w:rsid w:val="00701557"/>
    <w:rsid w:val="007022AC"/>
    <w:rsid w:val="00702778"/>
    <w:rsid w:val="00702AEE"/>
    <w:rsid w:val="00704E3F"/>
    <w:rsid w:val="007052C6"/>
    <w:rsid w:val="00705E9D"/>
    <w:rsid w:val="00705F49"/>
    <w:rsid w:val="00706F57"/>
    <w:rsid w:val="00706F6B"/>
    <w:rsid w:val="007076A1"/>
    <w:rsid w:val="00707713"/>
    <w:rsid w:val="00707CE7"/>
    <w:rsid w:val="00710232"/>
    <w:rsid w:val="00710699"/>
    <w:rsid w:val="00711B99"/>
    <w:rsid w:val="007120A4"/>
    <w:rsid w:val="00712BAF"/>
    <w:rsid w:val="00713ABA"/>
    <w:rsid w:val="00713B59"/>
    <w:rsid w:val="00714CD5"/>
    <w:rsid w:val="00715709"/>
    <w:rsid w:val="00715C70"/>
    <w:rsid w:val="007174E1"/>
    <w:rsid w:val="007176E6"/>
    <w:rsid w:val="00717B00"/>
    <w:rsid w:val="00720838"/>
    <w:rsid w:val="00720E9B"/>
    <w:rsid w:val="00720F16"/>
    <w:rsid w:val="00720FBD"/>
    <w:rsid w:val="0072221E"/>
    <w:rsid w:val="007228A6"/>
    <w:rsid w:val="00722ADB"/>
    <w:rsid w:val="00722BD2"/>
    <w:rsid w:val="0072369D"/>
    <w:rsid w:val="00723DAD"/>
    <w:rsid w:val="00723E50"/>
    <w:rsid w:val="00724A04"/>
    <w:rsid w:val="00725FA6"/>
    <w:rsid w:val="00727E74"/>
    <w:rsid w:val="00730811"/>
    <w:rsid w:val="00730ED0"/>
    <w:rsid w:val="00732A5F"/>
    <w:rsid w:val="007338DD"/>
    <w:rsid w:val="0073502C"/>
    <w:rsid w:val="0073508D"/>
    <w:rsid w:val="00736AA9"/>
    <w:rsid w:val="00737C51"/>
    <w:rsid w:val="00737D57"/>
    <w:rsid w:val="007405EC"/>
    <w:rsid w:val="00740B43"/>
    <w:rsid w:val="00740DB9"/>
    <w:rsid w:val="0074122E"/>
    <w:rsid w:val="0074221E"/>
    <w:rsid w:val="0074269D"/>
    <w:rsid w:val="00743084"/>
    <w:rsid w:val="00743570"/>
    <w:rsid w:val="00743727"/>
    <w:rsid w:val="00744471"/>
    <w:rsid w:val="007450F2"/>
    <w:rsid w:val="007508FE"/>
    <w:rsid w:val="00751322"/>
    <w:rsid w:val="00751574"/>
    <w:rsid w:val="00751770"/>
    <w:rsid w:val="00751933"/>
    <w:rsid w:val="00752402"/>
    <w:rsid w:val="007530E8"/>
    <w:rsid w:val="007532C4"/>
    <w:rsid w:val="007538D3"/>
    <w:rsid w:val="00753DEE"/>
    <w:rsid w:val="007540BF"/>
    <w:rsid w:val="00754246"/>
    <w:rsid w:val="00754AF4"/>
    <w:rsid w:val="00755BDA"/>
    <w:rsid w:val="00756E09"/>
    <w:rsid w:val="00756EB4"/>
    <w:rsid w:val="007579B4"/>
    <w:rsid w:val="00760029"/>
    <w:rsid w:val="007600BE"/>
    <w:rsid w:val="00760237"/>
    <w:rsid w:val="00760C70"/>
    <w:rsid w:val="00762F06"/>
    <w:rsid w:val="00763756"/>
    <w:rsid w:val="00763E47"/>
    <w:rsid w:val="00764162"/>
    <w:rsid w:val="0076464F"/>
    <w:rsid w:val="0076487C"/>
    <w:rsid w:val="007648E2"/>
    <w:rsid w:val="00764AFB"/>
    <w:rsid w:val="0076524C"/>
    <w:rsid w:val="00765CAC"/>
    <w:rsid w:val="007663EE"/>
    <w:rsid w:val="00767BC9"/>
    <w:rsid w:val="00767E1D"/>
    <w:rsid w:val="00770DCB"/>
    <w:rsid w:val="00771DF3"/>
    <w:rsid w:val="0077226D"/>
    <w:rsid w:val="0077263B"/>
    <w:rsid w:val="00773568"/>
    <w:rsid w:val="00773C07"/>
    <w:rsid w:val="00773C0D"/>
    <w:rsid w:val="0077459A"/>
    <w:rsid w:val="00775485"/>
    <w:rsid w:val="00776081"/>
    <w:rsid w:val="0077694B"/>
    <w:rsid w:val="007769CE"/>
    <w:rsid w:val="00776BF5"/>
    <w:rsid w:val="007770AF"/>
    <w:rsid w:val="00780B78"/>
    <w:rsid w:val="00781050"/>
    <w:rsid w:val="00782305"/>
    <w:rsid w:val="007836FE"/>
    <w:rsid w:val="007840F9"/>
    <w:rsid w:val="00786596"/>
    <w:rsid w:val="0078696B"/>
    <w:rsid w:val="00787257"/>
    <w:rsid w:val="007878BD"/>
    <w:rsid w:val="00790272"/>
    <w:rsid w:val="00790B08"/>
    <w:rsid w:val="00790D18"/>
    <w:rsid w:val="0079163B"/>
    <w:rsid w:val="00792046"/>
    <w:rsid w:val="00792270"/>
    <w:rsid w:val="00793D20"/>
    <w:rsid w:val="0079534F"/>
    <w:rsid w:val="00795E40"/>
    <w:rsid w:val="00796EB1"/>
    <w:rsid w:val="007A08A1"/>
    <w:rsid w:val="007A1233"/>
    <w:rsid w:val="007A27F0"/>
    <w:rsid w:val="007A2B4D"/>
    <w:rsid w:val="007A2E36"/>
    <w:rsid w:val="007A3610"/>
    <w:rsid w:val="007A4E8D"/>
    <w:rsid w:val="007A58EB"/>
    <w:rsid w:val="007A610F"/>
    <w:rsid w:val="007A646F"/>
    <w:rsid w:val="007A6F75"/>
    <w:rsid w:val="007B02D1"/>
    <w:rsid w:val="007B05E6"/>
    <w:rsid w:val="007B0D34"/>
    <w:rsid w:val="007B0DEB"/>
    <w:rsid w:val="007B1219"/>
    <w:rsid w:val="007B204B"/>
    <w:rsid w:val="007B25C6"/>
    <w:rsid w:val="007B283F"/>
    <w:rsid w:val="007B2D02"/>
    <w:rsid w:val="007B3571"/>
    <w:rsid w:val="007B366E"/>
    <w:rsid w:val="007B3DEF"/>
    <w:rsid w:val="007B3E72"/>
    <w:rsid w:val="007B4050"/>
    <w:rsid w:val="007B4825"/>
    <w:rsid w:val="007B5091"/>
    <w:rsid w:val="007B5B72"/>
    <w:rsid w:val="007B65F0"/>
    <w:rsid w:val="007B74F1"/>
    <w:rsid w:val="007B7E00"/>
    <w:rsid w:val="007B7F60"/>
    <w:rsid w:val="007C090F"/>
    <w:rsid w:val="007C0C8C"/>
    <w:rsid w:val="007C0F40"/>
    <w:rsid w:val="007C127D"/>
    <w:rsid w:val="007C2CA6"/>
    <w:rsid w:val="007C2DC1"/>
    <w:rsid w:val="007C3982"/>
    <w:rsid w:val="007C3B38"/>
    <w:rsid w:val="007C3F00"/>
    <w:rsid w:val="007C435C"/>
    <w:rsid w:val="007C670C"/>
    <w:rsid w:val="007C67E7"/>
    <w:rsid w:val="007C71CD"/>
    <w:rsid w:val="007C78D1"/>
    <w:rsid w:val="007C7A20"/>
    <w:rsid w:val="007D0231"/>
    <w:rsid w:val="007D0D3D"/>
    <w:rsid w:val="007D1102"/>
    <w:rsid w:val="007D243B"/>
    <w:rsid w:val="007D2DE7"/>
    <w:rsid w:val="007D3B8C"/>
    <w:rsid w:val="007D40F5"/>
    <w:rsid w:val="007D4454"/>
    <w:rsid w:val="007D4CD3"/>
    <w:rsid w:val="007D4DA2"/>
    <w:rsid w:val="007D59BD"/>
    <w:rsid w:val="007D6E24"/>
    <w:rsid w:val="007D7C13"/>
    <w:rsid w:val="007E0407"/>
    <w:rsid w:val="007E06EB"/>
    <w:rsid w:val="007E135C"/>
    <w:rsid w:val="007E14AF"/>
    <w:rsid w:val="007E17B3"/>
    <w:rsid w:val="007E1861"/>
    <w:rsid w:val="007E1D9B"/>
    <w:rsid w:val="007E2257"/>
    <w:rsid w:val="007E235C"/>
    <w:rsid w:val="007E249F"/>
    <w:rsid w:val="007E27E8"/>
    <w:rsid w:val="007E2986"/>
    <w:rsid w:val="007E2EFD"/>
    <w:rsid w:val="007E3799"/>
    <w:rsid w:val="007E470D"/>
    <w:rsid w:val="007E5B88"/>
    <w:rsid w:val="007E6C19"/>
    <w:rsid w:val="007E6E11"/>
    <w:rsid w:val="007E6F82"/>
    <w:rsid w:val="007E71D2"/>
    <w:rsid w:val="007F05C4"/>
    <w:rsid w:val="007F0858"/>
    <w:rsid w:val="007F0D0B"/>
    <w:rsid w:val="007F0DB7"/>
    <w:rsid w:val="007F0E11"/>
    <w:rsid w:val="007F1030"/>
    <w:rsid w:val="007F23F8"/>
    <w:rsid w:val="007F288E"/>
    <w:rsid w:val="007F33D1"/>
    <w:rsid w:val="007F3E83"/>
    <w:rsid w:val="007F4798"/>
    <w:rsid w:val="007F4888"/>
    <w:rsid w:val="007F496B"/>
    <w:rsid w:val="007F4ACA"/>
    <w:rsid w:val="007F561D"/>
    <w:rsid w:val="007F570B"/>
    <w:rsid w:val="007F63D9"/>
    <w:rsid w:val="007F6517"/>
    <w:rsid w:val="007F75FD"/>
    <w:rsid w:val="007F7997"/>
    <w:rsid w:val="008007A8"/>
    <w:rsid w:val="008007B0"/>
    <w:rsid w:val="00800C07"/>
    <w:rsid w:val="00801FE8"/>
    <w:rsid w:val="00802019"/>
    <w:rsid w:val="00802A27"/>
    <w:rsid w:val="00803700"/>
    <w:rsid w:val="00803A54"/>
    <w:rsid w:val="00803F88"/>
    <w:rsid w:val="008042D9"/>
    <w:rsid w:val="00806323"/>
    <w:rsid w:val="00806FCE"/>
    <w:rsid w:val="0081071B"/>
    <w:rsid w:val="00811B4A"/>
    <w:rsid w:val="008130C1"/>
    <w:rsid w:val="0081435A"/>
    <w:rsid w:val="00814D0F"/>
    <w:rsid w:val="00814FC0"/>
    <w:rsid w:val="00815A9B"/>
    <w:rsid w:val="00816321"/>
    <w:rsid w:val="0081635A"/>
    <w:rsid w:val="00816D81"/>
    <w:rsid w:val="0082084B"/>
    <w:rsid w:val="008212D2"/>
    <w:rsid w:val="00822BFE"/>
    <w:rsid w:val="00822EC6"/>
    <w:rsid w:val="0082468F"/>
    <w:rsid w:val="00824805"/>
    <w:rsid w:val="008249AA"/>
    <w:rsid w:val="008260DB"/>
    <w:rsid w:val="00826CD9"/>
    <w:rsid w:val="0082793E"/>
    <w:rsid w:val="00827F88"/>
    <w:rsid w:val="008304DD"/>
    <w:rsid w:val="0083132F"/>
    <w:rsid w:val="00831E68"/>
    <w:rsid w:val="00832637"/>
    <w:rsid w:val="008346CF"/>
    <w:rsid w:val="008351E8"/>
    <w:rsid w:val="00835960"/>
    <w:rsid w:val="008359B7"/>
    <w:rsid w:val="0083647C"/>
    <w:rsid w:val="008365F3"/>
    <w:rsid w:val="0083749A"/>
    <w:rsid w:val="00837A89"/>
    <w:rsid w:val="00837C5D"/>
    <w:rsid w:val="00841981"/>
    <w:rsid w:val="00841EA2"/>
    <w:rsid w:val="008436D3"/>
    <w:rsid w:val="0084397F"/>
    <w:rsid w:val="00843C88"/>
    <w:rsid w:val="008443B5"/>
    <w:rsid w:val="00844775"/>
    <w:rsid w:val="00844EE4"/>
    <w:rsid w:val="00845216"/>
    <w:rsid w:val="008462F7"/>
    <w:rsid w:val="0084682E"/>
    <w:rsid w:val="008469B9"/>
    <w:rsid w:val="008479C9"/>
    <w:rsid w:val="00847B4C"/>
    <w:rsid w:val="00847C24"/>
    <w:rsid w:val="00850176"/>
    <w:rsid w:val="00850D76"/>
    <w:rsid w:val="00851290"/>
    <w:rsid w:val="00851967"/>
    <w:rsid w:val="00851CD1"/>
    <w:rsid w:val="008528B6"/>
    <w:rsid w:val="00852991"/>
    <w:rsid w:val="0085420E"/>
    <w:rsid w:val="00854998"/>
    <w:rsid w:val="00855E0C"/>
    <w:rsid w:val="008560A5"/>
    <w:rsid w:val="00856617"/>
    <w:rsid w:val="008571D8"/>
    <w:rsid w:val="0085742B"/>
    <w:rsid w:val="008605CC"/>
    <w:rsid w:val="00860EEC"/>
    <w:rsid w:val="0086169A"/>
    <w:rsid w:val="00861C21"/>
    <w:rsid w:val="00862436"/>
    <w:rsid w:val="008634C9"/>
    <w:rsid w:val="00863C22"/>
    <w:rsid w:val="0086587A"/>
    <w:rsid w:val="00866FDC"/>
    <w:rsid w:val="008674BB"/>
    <w:rsid w:val="008700AC"/>
    <w:rsid w:val="00870190"/>
    <w:rsid w:val="00870424"/>
    <w:rsid w:val="008710F3"/>
    <w:rsid w:val="008724DE"/>
    <w:rsid w:val="00872DE0"/>
    <w:rsid w:val="00873671"/>
    <w:rsid w:val="00873753"/>
    <w:rsid w:val="0087415C"/>
    <w:rsid w:val="00874F11"/>
    <w:rsid w:val="00876A04"/>
    <w:rsid w:val="008779FC"/>
    <w:rsid w:val="00880085"/>
    <w:rsid w:val="00883589"/>
    <w:rsid w:val="008835FC"/>
    <w:rsid w:val="008840B7"/>
    <w:rsid w:val="0088507B"/>
    <w:rsid w:val="00885339"/>
    <w:rsid w:val="0088566E"/>
    <w:rsid w:val="00886C2B"/>
    <w:rsid w:val="008934FE"/>
    <w:rsid w:val="00893942"/>
    <w:rsid w:val="008939B0"/>
    <w:rsid w:val="00894704"/>
    <w:rsid w:val="00894B68"/>
    <w:rsid w:val="00894E1D"/>
    <w:rsid w:val="00894FF6"/>
    <w:rsid w:val="00896918"/>
    <w:rsid w:val="008975A0"/>
    <w:rsid w:val="0089778C"/>
    <w:rsid w:val="00897D38"/>
    <w:rsid w:val="008A0429"/>
    <w:rsid w:val="008A07BE"/>
    <w:rsid w:val="008A16BD"/>
    <w:rsid w:val="008A2DF3"/>
    <w:rsid w:val="008A3776"/>
    <w:rsid w:val="008A3D57"/>
    <w:rsid w:val="008A443E"/>
    <w:rsid w:val="008A52B9"/>
    <w:rsid w:val="008A6E22"/>
    <w:rsid w:val="008A7020"/>
    <w:rsid w:val="008A7510"/>
    <w:rsid w:val="008A7978"/>
    <w:rsid w:val="008A7CC4"/>
    <w:rsid w:val="008A7FE3"/>
    <w:rsid w:val="008B07AE"/>
    <w:rsid w:val="008B0AB2"/>
    <w:rsid w:val="008B0F76"/>
    <w:rsid w:val="008B235F"/>
    <w:rsid w:val="008B23BC"/>
    <w:rsid w:val="008B2DA0"/>
    <w:rsid w:val="008B3615"/>
    <w:rsid w:val="008B3675"/>
    <w:rsid w:val="008B3BFF"/>
    <w:rsid w:val="008B4763"/>
    <w:rsid w:val="008B4FEC"/>
    <w:rsid w:val="008B53E7"/>
    <w:rsid w:val="008B6375"/>
    <w:rsid w:val="008B6A21"/>
    <w:rsid w:val="008B6EDD"/>
    <w:rsid w:val="008B718C"/>
    <w:rsid w:val="008B74DB"/>
    <w:rsid w:val="008C0001"/>
    <w:rsid w:val="008C0174"/>
    <w:rsid w:val="008C0989"/>
    <w:rsid w:val="008C0A64"/>
    <w:rsid w:val="008C1828"/>
    <w:rsid w:val="008C1CB9"/>
    <w:rsid w:val="008C2571"/>
    <w:rsid w:val="008C3596"/>
    <w:rsid w:val="008C3F06"/>
    <w:rsid w:val="008C4685"/>
    <w:rsid w:val="008C4928"/>
    <w:rsid w:val="008C53BE"/>
    <w:rsid w:val="008C7D7F"/>
    <w:rsid w:val="008C7EF9"/>
    <w:rsid w:val="008D1440"/>
    <w:rsid w:val="008D1F4C"/>
    <w:rsid w:val="008D329D"/>
    <w:rsid w:val="008D3460"/>
    <w:rsid w:val="008D37B0"/>
    <w:rsid w:val="008D39CC"/>
    <w:rsid w:val="008D3E35"/>
    <w:rsid w:val="008D4994"/>
    <w:rsid w:val="008D5A06"/>
    <w:rsid w:val="008D5D68"/>
    <w:rsid w:val="008D76DD"/>
    <w:rsid w:val="008E0CBF"/>
    <w:rsid w:val="008E1D33"/>
    <w:rsid w:val="008E1E81"/>
    <w:rsid w:val="008E23F5"/>
    <w:rsid w:val="008E30A4"/>
    <w:rsid w:val="008E3177"/>
    <w:rsid w:val="008E32AE"/>
    <w:rsid w:val="008E3990"/>
    <w:rsid w:val="008E3AD1"/>
    <w:rsid w:val="008E3B29"/>
    <w:rsid w:val="008E3D60"/>
    <w:rsid w:val="008E3F4C"/>
    <w:rsid w:val="008E3F66"/>
    <w:rsid w:val="008E4323"/>
    <w:rsid w:val="008E486D"/>
    <w:rsid w:val="008E61C1"/>
    <w:rsid w:val="008E626B"/>
    <w:rsid w:val="008E6A32"/>
    <w:rsid w:val="008E73A3"/>
    <w:rsid w:val="008E7E61"/>
    <w:rsid w:val="008F0268"/>
    <w:rsid w:val="008F099F"/>
    <w:rsid w:val="008F1121"/>
    <w:rsid w:val="008F1ECF"/>
    <w:rsid w:val="008F20EB"/>
    <w:rsid w:val="008F2669"/>
    <w:rsid w:val="008F2D9B"/>
    <w:rsid w:val="008F2F79"/>
    <w:rsid w:val="008F3CD4"/>
    <w:rsid w:val="008F5487"/>
    <w:rsid w:val="008F6B7B"/>
    <w:rsid w:val="0090053B"/>
    <w:rsid w:val="0090165F"/>
    <w:rsid w:val="009016B2"/>
    <w:rsid w:val="00901879"/>
    <w:rsid w:val="00901B12"/>
    <w:rsid w:val="00901B82"/>
    <w:rsid w:val="009026BA"/>
    <w:rsid w:val="00902C01"/>
    <w:rsid w:val="009030EB"/>
    <w:rsid w:val="009039EE"/>
    <w:rsid w:val="00903E36"/>
    <w:rsid w:val="00903FB7"/>
    <w:rsid w:val="00905589"/>
    <w:rsid w:val="00906283"/>
    <w:rsid w:val="00906481"/>
    <w:rsid w:val="00906690"/>
    <w:rsid w:val="00907722"/>
    <w:rsid w:val="0091051D"/>
    <w:rsid w:val="009106F9"/>
    <w:rsid w:val="00910724"/>
    <w:rsid w:val="009110B1"/>
    <w:rsid w:val="009112E3"/>
    <w:rsid w:val="00912692"/>
    <w:rsid w:val="00912B09"/>
    <w:rsid w:val="00912D28"/>
    <w:rsid w:val="00912F67"/>
    <w:rsid w:val="00913B51"/>
    <w:rsid w:val="00913B9B"/>
    <w:rsid w:val="00913E68"/>
    <w:rsid w:val="00914015"/>
    <w:rsid w:val="00914EFE"/>
    <w:rsid w:val="009150EA"/>
    <w:rsid w:val="00915164"/>
    <w:rsid w:val="0091562F"/>
    <w:rsid w:val="0091776A"/>
    <w:rsid w:val="00920402"/>
    <w:rsid w:val="0092066E"/>
    <w:rsid w:val="00921F6B"/>
    <w:rsid w:val="0092238A"/>
    <w:rsid w:val="00925122"/>
    <w:rsid w:val="00926121"/>
    <w:rsid w:val="00926259"/>
    <w:rsid w:val="00927104"/>
    <w:rsid w:val="0092797F"/>
    <w:rsid w:val="00927B0A"/>
    <w:rsid w:val="00927F5F"/>
    <w:rsid w:val="00930098"/>
    <w:rsid w:val="009301CA"/>
    <w:rsid w:val="00931F1F"/>
    <w:rsid w:val="00933240"/>
    <w:rsid w:val="009337EB"/>
    <w:rsid w:val="00934A03"/>
    <w:rsid w:val="00934F52"/>
    <w:rsid w:val="00935A4D"/>
    <w:rsid w:val="00935D9D"/>
    <w:rsid w:val="00937574"/>
    <w:rsid w:val="00937A8C"/>
    <w:rsid w:val="00937D64"/>
    <w:rsid w:val="00937DCB"/>
    <w:rsid w:val="00937E7D"/>
    <w:rsid w:val="0094082D"/>
    <w:rsid w:val="0094098C"/>
    <w:rsid w:val="00941DA6"/>
    <w:rsid w:val="00941DEA"/>
    <w:rsid w:val="009427BE"/>
    <w:rsid w:val="00942F6D"/>
    <w:rsid w:val="009434E1"/>
    <w:rsid w:val="0094388B"/>
    <w:rsid w:val="00943983"/>
    <w:rsid w:val="00944522"/>
    <w:rsid w:val="0094533E"/>
    <w:rsid w:val="00945C51"/>
    <w:rsid w:val="00946458"/>
    <w:rsid w:val="00947668"/>
    <w:rsid w:val="00947BB8"/>
    <w:rsid w:val="009508FE"/>
    <w:rsid w:val="00951190"/>
    <w:rsid w:val="00951799"/>
    <w:rsid w:val="00952A69"/>
    <w:rsid w:val="00952D5B"/>
    <w:rsid w:val="00953072"/>
    <w:rsid w:val="009531C0"/>
    <w:rsid w:val="009538D4"/>
    <w:rsid w:val="009538E9"/>
    <w:rsid w:val="009545B4"/>
    <w:rsid w:val="00961624"/>
    <w:rsid w:val="009616B7"/>
    <w:rsid w:val="009620F9"/>
    <w:rsid w:val="00962A09"/>
    <w:rsid w:val="00962A8A"/>
    <w:rsid w:val="00962FB8"/>
    <w:rsid w:val="00963882"/>
    <w:rsid w:val="00963AE9"/>
    <w:rsid w:val="0096452D"/>
    <w:rsid w:val="009646FB"/>
    <w:rsid w:val="00964C69"/>
    <w:rsid w:val="00964F5A"/>
    <w:rsid w:val="00965458"/>
    <w:rsid w:val="00965746"/>
    <w:rsid w:val="00965FB3"/>
    <w:rsid w:val="00966535"/>
    <w:rsid w:val="00966A8D"/>
    <w:rsid w:val="00966B01"/>
    <w:rsid w:val="00966C2F"/>
    <w:rsid w:val="00967195"/>
    <w:rsid w:val="00967C85"/>
    <w:rsid w:val="00970A66"/>
    <w:rsid w:val="00971910"/>
    <w:rsid w:val="00971BFF"/>
    <w:rsid w:val="00971C45"/>
    <w:rsid w:val="00972DAD"/>
    <w:rsid w:val="00972E66"/>
    <w:rsid w:val="0097314D"/>
    <w:rsid w:val="0097380F"/>
    <w:rsid w:val="009738A0"/>
    <w:rsid w:val="00973CA7"/>
    <w:rsid w:val="009748FF"/>
    <w:rsid w:val="0097512B"/>
    <w:rsid w:val="0097527D"/>
    <w:rsid w:val="009755A3"/>
    <w:rsid w:val="00975D36"/>
    <w:rsid w:val="00976143"/>
    <w:rsid w:val="0097620C"/>
    <w:rsid w:val="00976C84"/>
    <w:rsid w:val="009772FC"/>
    <w:rsid w:val="009777D3"/>
    <w:rsid w:val="00977FDD"/>
    <w:rsid w:val="00980DBF"/>
    <w:rsid w:val="0098224E"/>
    <w:rsid w:val="00983F6F"/>
    <w:rsid w:val="00984BCD"/>
    <w:rsid w:val="00985F4B"/>
    <w:rsid w:val="0098663A"/>
    <w:rsid w:val="00987244"/>
    <w:rsid w:val="0098772E"/>
    <w:rsid w:val="00987E69"/>
    <w:rsid w:val="00990040"/>
    <w:rsid w:val="00990A8A"/>
    <w:rsid w:val="0099258B"/>
    <w:rsid w:val="0099351F"/>
    <w:rsid w:val="00994BBC"/>
    <w:rsid w:val="00996A1E"/>
    <w:rsid w:val="00996DE9"/>
    <w:rsid w:val="00996EA9"/>
    <w:rsid w:val="00996EB6"/>
    <w:rsid w:val="0099716B"/>
    <w:rsid w:val="00997516"/>
    <w:rsid w:val="009A0A33"/>
    <w:rsid w:val="009A0EFD"/>
    <w:rsid w:val="009A0FE1"/>
    <w:rsid w:val="009A114A"/>
    <w:rsid w:val="009A1BEB"/>
    <w:rsid w:val="009A2374"/>
    <w:rsid w:val="009A2521"/>
    <w:rsid w:val="009A40B2"/>
    <w:rsid w:val="009A4A5D"/>
    <w:rsid w:val="009A4E7B"/>
    <w:rsid w:val="009A63CD"/>
    <w:rsid w:val="009A6747"/>
    <w:rsid w:val="009A6D0F"/>
    <w:rsid w:val="009A6F63"/>
    <w:rsid w:val="009A7712"/>
    <w:rsid w:val="009B092F"/>
    <w:rsid w:val="009B1A78"/>
    <w:rsid w:val="009B3634"/>
    <w:rsid w:val="009B5EFD"/>
    <w:rsid w:val="009B61D7"/>
    <w:rsid w:val="009B630C"/>
    <w:rsid w:val="009B7422"/>
    <w:rsid w:val="009C025F"/>
    <w:rsid w:val="009C12A4"/>
    <w:rsid w:val="009C1E10"/>
    <w:rsid w:val="009C32F9"/>
    <w:rsid w:val="009C48EB"/>
    <w:rsid w:val="009C7EFB"/>
    <w:rsid w:val="009D027C"/>
    <w:rsid w:val="009D08A7"/>
    <w:rsid w:val="009D0BE3"/>
    <w:rsid w:val="009D1A28"/>
    <w:rsid w:val="009D2C35"/>
    <w:rsid w:val="009D32C4"/>
    <w:rsid w:val="009D37E7"/>
    <w:rsid w:val="009D3AC2"/>
    <w:rsid w:val="009D4D26"/>
    <w:rsid w:val="009D50BA"/>
    <w:rsid w:val="009D56E5"/>
    <w:rsid w:val="009D57FB"/>
    <w:rsid w:val="009D5A60"/>
    <w:rsid w:val="009D5E0D"/>
    <w:rsid w:val="009D6250"/>
    <w:rsid w:val="009D67F6"/>
    <w:rsid w:val="009D74AF"/>
    <w:rsid w:val="009E008A"/>
    <w:rsid w:val="009E0406"/>
    <w:rsid w:val="009E0FE1"/>
    <w:rsid w:val="009E1FD4"/>
    <w:rsid w:val="009E2591"/>
    <w:rsid w:val="009E3080"/>
    <w:rsid w:val="009E3C05"/>
    <w:rsid w:val="009E44DA"/>
    <w:rsid w:val="009E44FC"/>
    <w:rsid w:val="009E4AA8"/>
    <w:rsid w:val="009E4FCA"/>
    <w:rsid w:val="009E6DD7"/>
    <w:rsid w:val="009E7602"/>
    <w:rsid w:val="009F0C5C"/>
    <w:rsid w:val="009F18F4"/>
    <w:rsid w:val="009F1A1C"/>
    <w:rsid w:val="009F2A36"/>
    <w:rsid w:val="009F35C5"/>
    <w:rsid w:val="009F3A3A"/>
    <w:rsid w:val="009F6338"/>
    <w:rsid w:val="009F6C2A"/>
    <w:rsid w:val="00A00351"/>
    <w:rsid w:val="00A00491"/>
    <w:rsid w:val="00A01EC7"/>
    <w:rsid w:val="00A03996"/>
    <w:rsid w:val="00A03A4D"/>
    <w:rsid w:val="00A0406E"/>
    <w:rsid w:val="00A041B4"/>
    <w:rsid w:val="00A04672"/>
    <w:rsid w:val="00A04A56"/>
    <w:rsid w:val="00A05352"/>
    <w:rsid w:val="00A05FC3"/>
    <w:rsid w:val="00A06504"/>
    <w:rsid w:val="00A0667E"/>
    <w:rsid w:val="00A0714C"/>
    <w:rsid w:val="00A11307"/>
    <w:rsid w:val="00A11645"/>
    <w:rsid w:val="00A1199A"/>
    <w:rsid w:val="00A11CFC"/>
    <w:rsid w:val="00A11F03"/>
    <w:rsid w:val="00A12862"/>
    <w:rsid w:val="00A12936"/>
    <w:rsid w:val="00A12999"/>
    <w:rsid w:val="00A13970"/>
    <w:rsid w:val="00A13AF3"/>
    <w:rsid w:val="00A15705"/>
    <w:rsid w:val="00A15898"/>
    <w:rsid w:val="00A15E05"/>
    <w:rsid w:val="00A166EB"/>
    <w:rsid w:val="00A16C1B"/>
    <w:rsid w:val="00A174C5"/>
    <w:rsid w:val="00A17B24"/>
    <w:rsid w:val="00A20679"/>
    <w:rsid w:val="00A21388"/>
    <w:rsid w:val="00A21DC4"/>
    <w:rsid w:val="00A2361A"/>
    <w:rsid w:val="00A23BF4"/>
    <w:rsid w:val="00A24280"/>
    <w:rsid w:val="00A24377"/>
    <w:rsid w:val="00A25084"/>
    <w:rsid w:val="00A26A75"/>
    <w:rsid w:val="00A27791"/>
    <w:rsid w:val="00A3014C"/>
    <w:rsid w:val="00A30538"/>
    <w:rsid w:val="00A31357"/>
    <w:rsid w:val="00A31BF6"/>
    <w:rsid w:val="00A31ECE"/>
    <w:rsid w:val="00A320B6"/>
    <w:rsid w:val="00A32A11"/>
    <w:rsid w:val="00A32F81"/>
    <w:rsid w:val="00A33926"/>
    <w:rsid w:val="00A34557"/>
    <w:rsid w:val="00A34A95"/>
    <w:rsid w:val="00A34D69"/>
    <w:rsid w:val="00A35ACE"/>
    <w:rsid w:val="00A36DB6"/>
    <w:rsid w:val="00A37F9C"/>
    <w:rsid w:val="00A40C0E"/>
    <w:rsid w:val="00A41246"/>
    <w:rsid w:val="00A41355"/>
    <w:rsid w:val="00A41431"/>
    <w:rsid w:val="00A41AEC"/>
    <w:rsid w:val="00A41D46"/>
    <w:rsid w:val="00A42050"/>
    <w:rsid w:val="00A42D6D"/>
    <w:rsid w:val="00A43B92"/>
    <w:rsid w:val="00A440BE"/>
    <w:rsid w:val="00A44ABB"/>
    <w:rsid w:val="00A452C0"/>
    <w:rsid w:val="00A453FA"/>
    <w:rsid w:val="00A465D9"/>
    <w:rsid w:val="00A465DB"/>
    <w:rsid w:val="00A47378"/>
    <w:rsid w:val="00A4758C"/>
    <w:rsid w:val="00A50A66"/>
    <w:rsid w:val="00A51242"/>
    <w:rsid w:val="00A517D0"/>
    <w:rsid w:val="00A51DE6"/>
    <w:rsid w:val="00A52671"/>
    <w:rsid w:val="00A52678"/>
    <w:rsid w:val="00A52D11"/>
    <w:rsid w:val="00A539AD"/>
    <w:rsid w:val="00A54251"/>
    <w:rsid w:val="00A55964"/>
    <w:rsid w:val="00A55DB8"/>
    <w:rsid w:val="00A5601F"/>
    <w:rsid w:val="00A57523"/>
    <w:rsid w:val="00A57CD1"/>
    <w:rsid w:val="00A57D90"/>
    <w:rsid w:val="00A6052A"/>
    <w:rsid w:val="00A6179E"/>
    <w:rsid w:val="00A619A7"/>
    <w:rsid w:val="00A61B3C"/>
    <w:rsid w:val="00A61C4A"/>
    <w:rsid w:val="00A62A48"/>
    <w:rsid w:val="00A64316"/>
    <w:rsid w:val="00A64A78"/>
    <w:rsid w:val="00A64DEE"/>
    <w:rsid w:val="00A64E51"/>
    <w:rsid w:val="00A65925"/>
    <w:rsid w:val="00A66523"/>
    <w:rsid w:val="00A66A03"/>
    <w:rsid w:val="00A66D9B"/>
    <w:rsid w:val="00A674D3"/>
    <w:rsid w:val="00A7057A"/>
    <w:rsid w:val="00A7061E"/>
    <w:rsid w:val="00A7068C"/>
    <w:rsid w:val="00A70695"/>
    <w:rsid w:val="00A71ADC"/>
    <w:rsid w:val="00A7203F"/>
    <w:rsid w:val="00A724C0"/>
    <w:rsid w:val="00A74702"/>
    <w:rsid w:val="00A75095"/>
    <w:rsid w:val="00A757AA"/>
    <w:rsid w:val="00A75ECA"/>
    <w:rsid w:val="00A7629D"/>
    <w:rsid w:val="00A77B87"/>
    <w:rsid w:val="00A77B89"/>
    <w:rsid w:val="00A804D9"/>
    <w:rsid w:val="00A80609"/>
    <w:rsid w:val="00A813A6"/>
    <w:rsid w:val="00A81C8A"/>
    <w:rsid w:val="00A82169"/>
    <w:rsid w:val="00A8218B"/>
    <w:rsid w:val="00A82993"/>
    <w:rsid w:val="00A83EEB"/>
    <w:rsid w:val="00A83F62"/>
    <w:rsid w:val="00A851F6"/>
    <w:rsid w:val="00A855E7"/>
    <w:rsid w:val="00A85A75"/>
    <w:rsid w:val="00A85BD0"/>
    <w:rsid w:val="00A86539"/>
    <w:rsid w:val="00A86B44"/>
    <w:rsid w:val="00A87A67"/>
    <w:rsid w:val="00A900B2"/>
    <w:rsid w:val="00A90751"/>
    <w:rsid w:val="00A90AC9"/>
    <w:rsid w:val="00A916EA"/>
    <w:rsid w:val="00A917D4"/>
    <w:rsid w:val="00A9256F"/>
    <w:rsid w:val="00A92BBD"/>
    <w:rsid w:val="00A92D95"/>
    <w:rsid w:val="00A92DC1"/>
    <w:rsid w:val="00A92DDE"/>
    <w:rsid w:val="00A92E51"/>
    <w:rsid w:val="00A92F92"/>
    <w:rsid w:val="00A941ED"/>
    <w:rsid w:val="00A949E0"/>
    <w:rsid w:val="00A9514C"/>
    <w:rsid w:val="00A95EA2"/>
    <w:rsid w:val="00A96892"/>
    <w:rsid w:val="00A96CAB"/>
    <w:rsid w:val="00AA00A4"/>
    <w:rsid w:val="00AA0138"/>
    <w:rsid w:val="00AA092F"/>
    <w:rsid w:val="00AA0C77"/>
    <w:rsid w:val="00AA14FB"/>
    <w:rsid w:val="00AA1809"/>
    <w:rsid w:val="00AA1F43"/>
    <w:rsid w:val="00AA2051"/>
    <w:rsid w:val="00AA2B6C"/>
    <w:rsid w:val="00AA3111"/>
    <w:rsid w:val="00AA3C43"/>
    <w:rsid w:val="00AA3F8E"/>
    <w:rsid w:val="00AA4AD4"/>
    <w:rsid w:val="00AA52F0"/>
    <w:rsid w:val="00AA545C"/>
    <w:rsid w:val="00AA5B1B"/>
    <w:rsid w:val="00AA5E99"/>
    <w:rsid w:val="00AA652A"/>
    <w:rsid w:val="00AA6A0E"/>
    <w:rsid w:val="00AA7206"/>
    <w:rsid w:val="00AB037F"/>
    <w:rsid w:val="00AB2738"/>
    <w:rsid w:val="00AB33FB"/>
    <w:rsid w:val="00AB3AD2"/>
    <w:rsid w:val="00AB449A"/>
    <w:rsid w:val="00AB45F7"/>
    <w:rsid w:val="00AB506E"/>
    <w:rsid w:val="00AB7015"/>
    <w:rsid w:val="00AB71B7"/>
    <w:rsid w:val="00AB750A"/>
    <w:rsid w:val="00AB7588"/>
    <w:rsid w:val="00AC0713"/>
    <w:rsid w:val="00AC0B7E"/>
    <w:rsid w:val="00AC1BD5"/>
    <w:rsid w:val="00AC1DBB"/>
    <w:rsid w:val="00AC3798"/>
    <w:rsid w:val="00AC5587"/>
    <w:rsid w:val="00AC5BAC"/>
    <w:rsid w:val="00AC5F50"/>
    <w:rsid w:val="00AC6866"/>
    <w:rsid w:val="00AC6C3F"/>
    <w:rsid w:val="00AC718B"/>
    <w:rsid w:val="00AC71FB"/>
    <w:rsid w:val="00AC76C7"/>
    <w:rsid w:val="00AC7898"/>
    <w:rsid w:val="00AC7EF3"/>
    <w:rsid w:val="00AD021B"/>
    <w:rsid w:val="00AD0E5C"/>
    <w:rsid w:val="00AD17FB"/>
    <w:rsid w:val="00AD1AA9"/>
    <w:rsid w:val="00AD3774"/>
    <w:rsid w:val="00AD3E6B"/>
    <w:rsid w:val="00AD5B62"/>
    <w:rsid w:val="00AD633C"/>
    <w:rsid w:val="00AD70AD"/>
    <w:rsid w:val="00AD7DDB"/>
    <w:rsid w:val="00AD7EFB"/>
    <w:rsid w:val="00AE0132"/>
    <w:rsid w:val="00AE050D"/>
    <w:rsid w:val="00AE07C8"/>
    <w:rsid w:val="00AE0999"/>
    <w:rsid w:val="00AE120C"/>
    <w:rsid w:val="00AE1319"/>
    <w:rsid w:val="00AE1DC9"/>
    <w:rsid w:val="00AE2785"/>
    <w:rsid w:val="00AE2D5B"/>
    <w:rsid w:val="00AE47E6"/>
    <w:rsid w:val="00AE504E"/>
    <w:rsid w:val="00AE506C"/>
    <w:rsid w:val="00AE58D2"/>
    <w:rsid w:val="00AE6217"/>
    <w:rsid w:val="00AE7B57"/>
    <w:rsid w:val="00AF2758"/>
    <w:rsid w:val="00AF2799"/>
    <w:rsid w:val="00AF2A94"/>
    <w:rsid w:val="00AF34CF"/>
    <w:rsid w:val="00AF36BD"/>
    <w:rsid w:val="00AF370C"/>
    <w:rsid w:val="00AF4285"/>
    <w:rsid w:val="00AF491B"/>
    <w:rsid w:val="00AF4C30"/>
    <w:rsid w:val="00AF515D"/>
    <w:rsid w:val="00AF547A"/>
    <w:rsid w:val="00AF5DE1"/>
    <w:rsid w:val="00AF62D9"/>
    <w:rsid w:val="00AF6D7B"/>
    <w:rsid w:val="00AF7AA4"/>
    <w:rsid w:val="00B00A9F"/>
    <w:rsid w:val="00B0168E"/>
    <w:rsid w:val="00B01947"/>
    <w:rsid w:val="00B021D2"/>
    <w:rsid w:val="00B02314"/>
    <w:rsid w:val="00B023A3"/>
    <w:rsid w:val="00B03AB7"/>
    <w:rsid w:val="00B055F0"/>
    <w:rsid w:val="00B05E5D"/>
    <w:rsid w:val="00B06985"/>
    <w:rsid w:val="00B11FC3"/>
    <w:rsid w:val="00B12189"/>
    <w:rsid w:val="00B12519"/>
    <w:rsid w:val="00B139E7"/>
    <w:rsid w:val="00B13D2B"/>
    <w:rsid w:val="00B14FAA"/>
    <w:rsid w:val="00B15331"/>
    <w:rsid w:val="00B155B9"/>
    <w:rsid w:val="00B1576B"/>
    <w:rsid w:val="00B15D61"/>
    <w:rsid w:val="00B15F08"/>
    <w:rsid w:val="00B16EDE"/>
    <w:rsid w:val="00B21608"/>
    <w:rsid w:val="00B21A10"/>
    <w:rsid w:val="00B2376D"/>
    <w:rsid w:val="00B240C4"/>
    <w:rsid w:val="00B24893"/>
    <w:rsid w:val="00B24B1D"/>
    <w:rsid w:val="00B24CF8"/>
    <w:rsid w:val="00B2578B"/>
    <w:rsid w:val="00B25E4E"/>
    <w:rsid w:val="00B2652B"/>
    <w:rsid w:val="00B26D4D"/>
    <w:rsid w:val="00B277E0"/>
    <w:rsid w:val="00B303D3"/>
    <w:rsid w:val="00B30453"/>
    <w:rsid w:val="00B30940"/>
    <w:rsid w:val="00B30CB7"/>
    <w:rsid w:val="00B310B7"/>
    <w:rsid w:val="00B310CE"/>
    <w:rsid w:val="00B315C2"/>
    <w:rsid w:val="00B32ABC"/>
    <w:rsid w:val="00B332B4"/>
    <w:rsid w:val="00B34098"/>
    <w:rsid w:val="00B34946"/>
    <w:rsid w:val="00B34D75"/>
    <w:rsid w:val="00B371B3"/>
    <w:rsid w:val="00B372FF"/>
    <w:rsid w:val="00B37DE6"/>
    <w:rsid w:val="00B41071"/>
    <w:rsid w:val="00B411C2"/>
    <w:rsid w:val="00B4133F"/>
    <w:rsid w:val="00B42C85"/>
    <w:rsid w:val="00B42E5E"/>
    <w:rsid w:val="00B43667"/>
    <w:rsid w:val="00B43D81"/>
    <w:rsid w:val="00B44791"/>
    <w:rsid w:val="00B448FB"/>
    <w:rsid w:val="00B452CA"/>
    <w:rsid w:val="00B4596E"/>
    <w:rsid w:val="00B45CFB"/>
    <w:rsid w:val="00B46176"/>
    <w:rsid w:val="00B469FD"/>
    <w:rsid w:val="00B4710F"/>
    <w:rsid w:val="00B47FBD"/>
    <w:rsid w:val="00B51337"/>
    <w:rsid w:val="00B515D6"/>
    <w:rsid w:val="00B519FD"/>
    <w:rsid w:val="00B51E99"/>
    <w:rsid w:val="00B520BC"/>
    <w:rsid w:val="00B53496"/>
    <w:rsid w:val="00B53512"/>
    <w:rsid w:val="00B53984"/>
    <w:rsid w:val="00B54151"/>
    <w:rsid w:val="00B544E3"/>
    <w:rsid w:val="00B55279"/>
    <w:rsid w:val="00B56276"/>
    <w:rsid w:val="00B5647A"/>
    <w:rsid w:val="00B56BEF"/>
    <w:rsid w:val="00B5727F"/>
    <w:rsid w:val="00B57DCD"/>
    <w:rsid w:val="00B60B7D"/>
    <w:rsid w:val="00B60F36"/>
    <w:rsid w:val="00B6173B"/>
    <w:rsid w:val="00B62ABF"/>
    <w:rsid w:val="00B6324B"/>
    <w:rsid w:val="00B63D24"/>
    <w:rsid w:val="00B65867"/>
    <w:rsid w:val="00B65A02"/>
    <w:rsid w:val="00B65E43"/>
    <w:rsid w:val="00B66448"/>
    <w:rsid w:val="00B66CE4"/>
    <w:rsid w:val="00B6746B"/>
    <w:rsid w:val="00B675E0"/>
    <w:rsid w:val="00B67B2C"/>
    <w:rsid w:val="00B67E06"/>
    <w:rsid w:val="00B709FC"/>
    <w:rsid w:val="00B7129C"/>
    <w:rsid w:val="00B72116"/>
    <w:rsid w:val="00B722C9"/>
    <w:rsid w:val="00B724C3"/>
    <w:rsid w:val="00B74730"/>
    <w:rsid w:val="00B74A21"/>
    <w:rsid w:val="00B74E37"/>
    <w:rsid w:val="00B75AE1"/>
    <w:rsid w:val="00B75F57"/>
    <w:rsid w:val="00B766E2"/>
    <w:rsid w:val="00B76A30"/>
    <w:rsid w:val="00B76CB0"/>
    <w:rsid w:val="00B81091"/>
    <w:rsid w:val="00B81840"/>
    <w:rsid w:val="00B81A32"/>
    <w:rsid w:val="00B81F5B"/>
    <w:rsid w:val="00B82424"/>
    <w:rsid w:val="00B82D4C"/>
    <w:rsid w:val="00B8343E"/>
    <w:rsid w:val="00B839A5"/>
    <w:rsid w:val="00B83A4C"/>
    <w:rsid w:val="00B847FE"/>
    <w:rsid w:val="00B84AEF"/>
    <w:rsid w:val="00B85B37"/>
    <w:rsid w:val="00B8629B"/>
    <w:rsid w:val="00B864A1"/>
    <w:rsid w:val="00B86BE7"/>
    <w:rsid w:val="00B87866"/>
    <w:rsid w:val="00B90633"/>
    <w:rsid w:val="00B90766"/>
    <w:rsid w:val="00B924E6"/>
    <w:rsid w:val="00B926F5"/>
    <w:rsid w:val="00B92FE2"/>
    <w:rsid w:val="00B93654"/>
    <w:rsid w:val="00B93C59"/>
    <w:rsid w:val="00B95C16"/>
    <w:rsid w:val="00B96CCF"/>
    <w:rsid w:val="00B9713A"/>
    <w:rsid w:val="00BA096F"/>
    <w:rsid w:val="00BA11BB"/>
    <w:rsid w:val="00BA2236"/>
    <w:rsid w:val="00BA2297"/>
    <w:rsid w:val="00BA262D"/>
    <w:rsid w:val="00BA2CE4"/>
    <w:rsid w:val="00BA31A2"/>
    <w:rsid w:val="00BA3E96"/>
    <w:rsid w:val="00BA47CE"/>
    <w:rsid w:val="00BA5698"/>
    <w:rsid w:val="00BA5BE1"/>
    <w:rsid w:val="00BA73A2"/>
    <w:rsid w:val="00BB0CB1"/>
    <w:rsid w:val="00BB136F"/>
    <w:rsid w:val="00BB1767"/>
    <w:rsid w:val="00BB1CE1"/>
    <w:rsid w:val="00BB20C2"/>
    <w:rsid w:val="00BB25C0"/>
    <w:rsid w:val="00BB25D7"/>
    <w:rsid w:val="00BB4BF8"/>
    <w:rsid w:val="00BB4CA7"/>
    <w:rsid w:val="00BB756E"/>
    <w:rsid w:val="00BC03D3"/>
    <w:rsid w:val="00BC1F3F"/>
    <w:rsid w:val="00BC2FC4"/>
    <w:rsid w:val="00BC338E"/>
    <w:rsid w:val="00BC3870"/>
    <w:rsid w:val="00BC4247"/>
    <w:rsid w:val="00BC5035"/>
    <w:rsid w:val="00BC5D10"/>
    <w:rsid w:val="00BC743C"/>
    <w:rsid w:val="00BC79EB"/>
    <w:rsid w:val="00BD0DF1"/>
    <w:rsid w:val="00BD1AED"/>
    <w:rsid w:val="00BD1B4E"/>
    <w:rsid w:val="00BD1DAB"/>
    <w:rsid w:val="00BD2A7B"/>
    <w:rsid w:val="00BD3C0F"/>
    <w:rsid w:val="00BD410A"/>
    <w:rsid w:val="00BD4424"/>
    <w:rsid w:val="00BD4E0C"/>
    <w:rsid w:val="00BD4F2A"/>
    <w:rsid w:val="00BD6354"/>
    <w:rsid w:val="00BD638D"/>
    <w:rsid w:val="00BD66F6"/>
    <w:rsid w:val="00BD68B7"/>
    <w:rsid w:val="00BD7CC3"/>
    <w:rsid w:val="00BD7EF4"/>
    <w:rsid w:val="00BD7FCF"/>
    <w:rsid w:val="00BE0330"/>
    <w:rsid w:val="00BE11B7"/>
    <w:rsid w:val="00BE150F"/>
    <w:rsid w:val="00BE1FFF"/>
    <w:rsid w:val="00BE463E"/>
    <w:rsid w:val="00BE5552"/>
    <w:rsid w:val="00BE6BFA"/>
    <w:rsid w:val="00BE6ECB"/>
    <w:rsid w:val="00BE77E7"/>
    <w:rsid w:val="00BE7E05"/>
    <w:rsid w:val="00BF00C0"/>
    <w:rsid w:val="00BF02D7"/>
    <w:rsid w:val="00BF1271"/>
    <w:rsid w:val="00BF176A"/>
    <w:rsid w:val="00BF1CE0"/>
    <w:rsid w:val="00BF1FB7"/>
    <w:rsid w:val="00BF2809"/>
    <w:rsid w:val="00BF2B87"/>
    <w:rsid w:val="00BF2DBF"/>
    <w:rsid w:val="00BF30EA"/>
    <w:rsid w:val="00BF3C5B"/>
    <w:rsid w:val="00BF4416"/>
    <w:rsid w:val="00BF560F"/>
    <w:rsid w:val="00BF622E"/>
    <w:rsid w:val="00BF65F7"/>
    <w:rsid w:val="00BF69F3"/>
    <w:rsid w:val="00C00181"/>
    <w:rsid w:val="00C00495"/>
    <w:rsid w:val="00C00FFA"/>
    <w:rsid w:val="00C01500"/>
    <w:rsid w:val="00C0158A"/>
    <w:rsid w:val="00C01C01"/>
    <w:rsid w:val="00C02679"/>
    <w:rsid w:val="00C035C8"/>
    <w:rsid w:val="00C04867"/>
    <w:rsid w:val="00C04AF9"/>
    <w:rsid w:val="00C0522B"/>
    <w:rsid w:val="00C0654F"/>
    <w:rsid w:val="00C06CA1"/>
    <w:rsid w:val="00C076E1"/>
    <w:rsid w:val="00C07A9A"/>
    <w:rsid w:val="00C07B70"/>
    <w:rsid w:val="00C10327"/>
    <w:rsid w:val="00C103EC"/>
    <w:rsid w:val="00C10A4F"/>
    <w:rsid w:val="00C113B1"/>
    <w:rsid w:val="00C11B2E"/>
    <w:rsid w:val="00C11D05"/>
    <w:rsid w:val="00C125FE"/>
    <w:rsid w:val="00C12750"/>
    <w:rsid w:val="00C12A8E"/>
    <w:rsid w:val="00C1388E"/>
    <w:rsid w:val="00C14970"/>
    <w:rsid w:val="00C14E6B"/>
    <w:rsid w:val="00C150C8"/>
    <w:rsid w:val="00C1559B"/>
    <w:rsid w:val="00C15805"/>
    <w:rsid w:val="00C159F3"/>
    <w:rsid w:val="00C15DA7"/>
    <w:rsid w:val="00C1705B"/>
    <w:rsid w:val="00C171F0"/>
    <w:rsid w:val="00C174E7"/>
    <w:rsid w:val="00C20746"/>
    <w:rsid w:val="00C207EC"/>
    <w:rsid w:val="00C210A9"/>
    <w:rsid w:val="00C21793"/>
    <w:rsid w:val="00C21817"/>
    <w:rsid w:val="00C2225F"/>
    <w:rsid w:val="00C22B0F"/>
    <w:rsid w:val="00C22B88"/>
    <w:rsid w:val="00C23E6B"/>
    <w:rsid w:val="00C23E7E"/>
    <w:rsid w:val="00C25418"/>
    <w:rsid w:val="00C25A0D"/>
    <w:rsid w:val="00C25BDA"/>
    <w:rsid w:val="00C27215"/>
    <w:rsid w:val="00C309AC"/>
    <w:rsid w:val="00C31341"/>
    <w:rsid w:val="00C322DA"/>
    <w:rsid w:val="00C32348"/>
    <w:rsid w:val="00C33104"/>
    <w:rsid w:val="00C33204"/>
    <w:rsid w:val="00C33A80"/>
    <w:rsid w:val="00C33BB5"/>
    <w:rsid w:val="00C345A0"/>
    <w:rsid w:val="00C347AF"/>
    <w:rsid w:val="00C35132"/>
    <w:rsid w:val="00C3518E"/>
    <w:rsid w:val="00C35727"/>
    <w:rsid w:val="00C358CE"/>
    <w:rsid w:val="00C35929"/>
    <w:rsid w:val="00C366D2"/>
    <w:rsid w:val="00C36F55"/>
    <w:rsid w:val="00C371BB"/>
    <w:rsid w:val="00C37847"/>
    <w:rsid w:val="00C37A63"/>
    <w:rsid w:val="00C37C1B"/>
    <w:rsid w:val="00C40910"/>
    <w:rsid w:val="00C41481"/>
    <w:rsid w:val="00C41A0F"/>
    <w:rsid w:val="00C42213"/>
    <w:rsid w:val="00C4395E"/>
    <w:rsid w:val="00C43E4E"/>
    <w:rsid w:val="00C44691"/>
    <w:rsid w:val="00C45820"/>
    <w:rsid w:val="00C45A8C"/>
    <w:rsid w:val="00C46B70"/>
    <w:rsid w:val="00C46D0A"/>
    <w:rsid w:val="00C47052"/>
    <w:rsid w:val="00C47F14"/>
    <w:rsid w:val="00C50158"/>
    <w:rsid w:val="00C51368"/>
    <w:rsid w:val="00C51AF6"/>
    <w:rsid w:val="00C52ACC"/>
    <w:rsid w:val="00C52CF7"/>
    <w:rsid w:val="00C53851"/>
    <w:rsid w:val="00C540A4"/>
    <w:rsid w:val="00C541A8"/>
    <w:rsid w:val="00C5445F"/>
    <w:rsid w:val="00C54874"/>
    <w:rsid w:val="00C56A35"/>
    <w:rsid w:val="00C56C2D"/>
    <w:rsid w:val="00C60E6F"/>
    <w:rsid w:val="00C61619"/>
    <w:rsid w:val="00C61634"/>
    <w:rsid w:val="00C62C32"/>
    <w:rsid w:val="00C64AA9"/>
    <w:rsid w:val="00C6506B"/>
    <w:rsid w:val="00C65146"/>
    <w:rsid w:val="00C651F6"/>
    <w:rsid w:val="00C65491"/>
    <w:rsid w:val="00C65962"/>
    <w:rsid w:val="00C66141"/>
    <w:rsid w:val="00C665F5"/>
    <w:rsid w:val="00C673F7"/>
    <w:rsid w:val="00C67CC4"/>
    <w:rsid w:val="00C72661"/>
    <w:rsid w:val="00C728F5"/>
    <w:rsid w:val="00C73BA6"/>
    <w:rsid w:val="00C75808"/>
    <w:rsid w:val="00C758F4"/>
    <w:rsid w:val="00C75E39"/>
    <w:rsid w:val="00C7674D"/>
    <w:rsid w:val="00C77401"/>
    <w:rsid w:val="00C7797F"/>
    <w:rsid w:val="00C81069"/>
    <w:rsid w:val="00C81578"/>
    <w:rsid w:val="00C8159B"/>
    <w:rsid w:val="00C81C95"/>
    <w:rsid w:val="00C834E2"/>
    <w:rsid w:val="00C83541"/>
    <w:rsid w:val="00C83BED"/>
    <w:rsid w:val="00C83D37"/>
    <w:rsid w:val="00C840F8"/>
    <w:rsid w:val="00C84632"/>
    <w:rsid w:val="00C85206"/>
    <w:rsid w:val="00C85282"/>
    <w:rsid w:val="00C85297"/>
    <w:rsid w:val="00C854D4"/>
    <w:rsid w:val="00C85691"/>
    <w:rsid w:val="00C85B5B"/>
    <w:rsid w:val="00C861D7"/>
    <w:rsid w:val="00C868E0"/>
    <w:rsid w:val="00C90556"/>
    <w:rsid w:val="00C905EA"/>
    <w:rsid w:val="00C909DC"/>
    <w:rsid w:val="00C911BA"/>
    <w:rsid w:val="00C9153E"/>
    <w:rsid w:val="00C920BD"/>
    <w:rsid w:val="00C932C6"/>
    <w:rsid w:val="00C932F3"/>
    <w:rsid w:val="00C939AB"/>
    <w:rsid w:val="00C93F36"/>
    <w:rsid w:val="00C95652"/>
    <w:rsid w:val="00C95C71"/>
    <w:rsid w:val="00C95C8E"/>
    <w:rsid w:val="00C96233"/>
    <w:rsid w:val="00C96256"/>
    <w:rsid w:val="00C967DA"/>
    <w:rsid w:val="00C96A67"/>
    <w:rsid w:val="00C96BCA"/>
    <w:rsid w:val="00C970F7"/>
    <w:rsid w:val="00C97F56"/>
    <w:rsid w:val="00CA01B0"/>
    <w:rsid w:val="00CA0B7D"/>
    <w:rsid w:val="00CA0D78"/>
    <w:rsid w:val="00CA0D94"/>
    <w:rsid w:val="00CA0E96"/>
    <w:rsid w:val="00CA0F55"/>
    <w:rsid w:val="00CA1623"/>
    <w:rsid w:val="00CA2C54"/>
    <w:rsid w:val="00CA2E64"/>
    <w:rsid w:val="00CA4855"/>
    <w:rsid w:val="00CA628F"/>
    <w:rsid w:val="00CA6C57"/>
    <w:rsid w:val="00CA7214"/>
    <w:rsid w:val="00CA76EE"/>
    <w:rsid w:val="00CA7D95"/>
    <w:rsid w:val="00CB02D1"/>
    <w:rsid w:val="00CB08F5"/>
    <w:rsid w:val="00CB08F7"/>
    <w:rsid w:val="00CB0D97"/>
    <w:rsid w:val="00CB1397"/>
    <w:rsid w:val="00CB1795"/>
    <w:rsid w:val="00CB1F95"/>
    <w:rsid w:val="00CB23F5"/>
    <w:rsid w:val="00CB24FE"/>
    <w:rsid w:val="00CB31AA"/>
    <w:rsid w:val="00CB4BDD"/>
    <w:rsid w:val="00CB511F"/>
    <w:rsid w:val="00CB5A4C"/>
    <w:rsid w:val="00CB5C92"/>
    <w:rsid w:val="00CB6329"/>
    <w:rsid w:val="00CB6903"/>
    <w:rsid w:val="00CB74F2"/>
    <w:rsid w:val="00CB7EB8"/>
    <w:rsid w:val="00CC0755"/>
    <w:rsid w:val="00CC0AFF"/>
    <w:rsid w:val="00CC0DB6"/>
    <w:rsid w:val="00CC1E31"/>
    <w:rsid w:val="00CC4377"/>
    <w:rsid w:val="00CC44B1"/>
    <w:rsid w:val="00CC5448"/>
    <w:rsid w:val="00CC5BEF"/>
    <w:rsid w:val="00CC636A"/>
    <w:rsid w:val="00CC6987"/>
    <w:rsid w:val="00CC6FC0"/>
    <w:rsid w:val="00CC7DAB"/>
    <w:rsid w:val="00CD0101"/>
    <w:rsid w:val="00CD03F8"/>
    <w:rsid w:val="00CD0AAB"/>
    <w:rsid w:val="00CD0CF6"/>
    <w:rsid w:val="00CD0EE1"/>
    <w:rsid w:val="00CD0F79"/>
    <w:rsid w:val="00CD13B7"/>
    <w:rsid w:val="00CD2BD1"/>
    <w:rsid w:val="00CD2C6F"/>
    <w:rsid w:val="00CD4535"/>
    <w:rsid w:val="00CD4DEB"/>
    <w:rsid w:val="00CD58FD"/>
    <w:rsid w:val="00CD6144"/>
    <w:rsid w:val="00CD6E67"/>
    <w:rsid w:val="00CD6F70"/>
    <w:rsid w:val="00CD770B"/>
    <w:rsid w:val="00CD7A75"/>
    <w:rsid w:val="00CE01DB"/>
    <w:rsid w:val="00CE02A6"/>
    <w:rsid w:val="00CE0B14"/>
    <w:rsid w:val="00CE173F"/>
    <w:rsid w:val="00CE18AD"/>
    <w:rsid w:val="00CE1EF3"/>
    <w:rsid w:val="00CE2006"/>
    <w:rsid w:val="00CE286A"/>
    <w:rsid w:val="00CE2D1C"/>
    <w:rsid w:val="00CE45C2"/>
    <w:rsid w:val="00CE46E6"/>
    <w:rsid w:val="00CE48AB"/>
    <w:rsid w:val="00CE51E9"/>
    <w:rsid w:val="00CE5687"/>
    <w:rsid w:val="00CE5893"/>
    <w:rsid w:val="00CE58C1"/>
    <w:rsid w:val="00CE7519"/>
    <w:rsid w:val="00CE7934"/>
    <w:rsid w:val="00CE7A8C"/>
    <w:rsid w:val="00CE7B43"/>
    <w:rsid w:val="00CE7CB3"/>
    <w:rsid w:val="00CE7FFC"/>
    <w:rsid w:val="00CF0744"/>
    <w:rsid w:val="00CF07B1"/>
    <w:rsid w:val="00CF2C23"/>
    <w:rsid w:val="00CF4490"/>
    <w:rsid w:val="00CF4F07"/>
    <w:rsid w:val="00CF5141"/>
    <w:rsid w:val="00CF5DE2"/>
    <w:rsid w:val="00CF6B2B"/>
    <w:rsid w:val="00CF7783"/>
    <w:rsid w:val="00D0001E"/>
    <w:rsid w:val="00D00EB0"/>
    <w:rsid w:val="00D010FC"/>
    <w:rsid w:val="00D01150"/>
    <w:rsid w:val="00D02216"/>
    <w:rsid w:val="00D02448"/>
    <w:rsid w:val="00D0324E"/>
    <w:rsid w:val="00D03BB1"/>
    <w:rsid w:val="00D03C92"/>
    <w:rsid w:val="00D04B00"/>
    <w:rsid w:val="00D04FCD"/>
    <w:rsid w:val="00D058E7"/>
    <w:rsid w:val="00D06331"/>
    <w:rsid w:val="00D076C8"/>
    <w:rsid w:val="00D119DB"/>
    <w:rsid w:val="00D11C7F"/>
    <w:rsid w:val="00D129C5"/>
    <w:rsid w:val="00D13417"/>
    <w:rsid w:val="00D15447"/>
    <w:rsid w:val="00D15655"/>
    <w:rsid w:val="00D15BCB"/>
    <w:rsid w:val="00D20586"/>
    <w:rsid w:val="00D214AB"/>
    <w:rsid w:val="00D23312"/>
    <w:rsid w:val="00D2357B"/>
    <w:rsid w:val="00D235EA"/>
    <w:rsid w:val="00D247CF"/>
    <w:rsid w:val="00D251F9"/>
    <w:rsid w:val="00D259AD"/>
    <w:rsid w:val="00D264AF"/>
    <w:rsid w:val="00D26B38"/>
    <w:rsid w:val="00D27618"/>
    <w:rsid w:val="00D27681"/>
    <w:rsid w:val="00D300BE"/>
    <w:rsid w:val="00D30A61"/>
    <w:rsid w:val="00D30F22"/>
    <w:rsid w:val="00D31622"/>
    <w:rsid w:val="00D32A75"/>
    <w:rsid w:val="00D331BB"/>
    <w:rsid w:val="00D333EC"/>
    <w:rsid w:val="00D336A3"/>
    <w:rsid w:val="00D343FA"/>
    <w:rsid w:val="00D34E6C"/>
    <w:rsid w:val="00D364CD"/>
    <w:rsid w:val="00D365C8"/>
    <w:rsid w:val="00D37338"/>
    <w:rsid w:val="00D37640"/>
    <w:rsid w:val="00D377D9"/>
    <w:rsid w:val="00D40AF5"/>
    <w:rsid w:val="00D40BB0"/>
    <w:rsid w:val="00D412F7"/>
    <w:rsid w:val="00D41836"/>
    <w:rsid w:val="00D418FF"/>
    <w:rsid w:val="00D41D8B"/>
    <w:rsid w:val="00D42686"/>
    <w:rsid w:val="00D4279F"/>
    <w:rsid w:val="00D42D42"/>
    <w:rsid w:val="00D431A7"/>
    <w:rsid w:val="00D436C8"/>
    <w:rsid w:val="00D43CE9"/>
    <w:rsid w:val="00D4410C"/>
    <w:rsid w:val="00D44B35"/>
    <w:rsid w:val="00D45D9C"/>
    <w:rsid w:val="00D47783"/>
    <w:rsid w:val="00D500C7"/>
    <w:rsid w:val="00D50F1A"/>
    <w:rsid w:val="00D51466"/>
    <w:rsid w:val="00D516F3"/>
    <w:rsid w:val="00D51AB2"/>
    <w:rsid w:val="00D5240C"/>
    <w:rsid w:val="00D5266C"/>
    <w:rsid w:val="00D52A32"/>
    <w:rsid w:val="00D53418"/>
    <w:rsid w:val="00D539DF"/>
    <w:rsid w:val="00D54998"/>
    <w:rsid w:val="00D55A3F"/>
    <w:rsid w:val="00D55B6F"/>
    <w:rsid w:val="00D55C3D"/>
    <w:rsid w:val="00D55CF2"/>
    <w:rsid w:val="00D55EA4"/>
    <w:rsid w:val="00D5676E"/>
    <w:rsid w:val="00D56F56"/>
    <w:rsid w:val="00D57A5B"/>
    <w:rsid w:val="00D57EBE"/>
    <w:rsid w:val="00D6010D"/>
    <w:rsid w:val="00D60BEF"/>
    <w:rsid w:val="00D60F0E"/>
    <w:rsid w:val="00D61162"/>
    <w:rsid w:val="00D61715"/>
    <w:rsid w:val="00D61B81"/>
    <w:rsid w:val="00D62095"/>
    <w:rsid w:val="00D637B3"/>
    <w:rsid w:val="00D6391F"/>
    <w:rsid w:val="00D63A2E"/>
    <w:rsid w:val="00D646DD"/>
    <w:rsid w:val="00D648C8"/>
    <w:rsid w:val="00D64E44"/>
    <w:rsid w:val="00D65731"/>
    <w:rsid w:val="00D65C76"/>
    <w:rsid w:val="00D67D59"/>
    <w:rsid w:val="00D70791"/>
    <w:rsid w:val="00D70BCA"/>
    <w:rsid w:val="00D715F9"/>
    <w:rsid w:val="00D71ADE"/>
    <w:rsid w:val="00D722AD"/>
    <w:rsid w:val="00D728B8"/>
    <w:rsid w:val="00D729AD"/>
    <w:rsid w:val="00D72E05"/>
    <w:rsid w:val="00D734C7"/>
    <w:rsid w:val="00D734D7"/>
    <w:rsid w:val="00D73F18"/>
    <w:rsid w:val="00D7449D"/>
    <w:rsid w:val="00D746F2"/>
    <w:rsid w:val="00D7514E"/>
    <w:rsid w:val="00D7537B"/>
    <w:rsid w:val="00D7705E"/>
    <w:rsid w:val="00D7721C"/>
    <w:rsid w:val="00D808FB"/>
    <w:rsid w:val="00D81BA0"/>
    <w:rsid w:val="00D82061"/>
    <w:rsid w:val="00D82CC4"/>
    <w:rsid w:val="00D831A5"/>
    <w:rsid w:val="00D83365"/>
    <w:rsid w:val="00D84A15"/>
    <w:rsid w:val="00D84A5D"/>
    <w:rsid w:val="00D84BF4"/>
    <w:rsid w:val="00D85646"/>
    <w:rsid w:val="00D865BD"/>
    <w:rsid w:val="00D86D6F"/>
    <w:rsid w:val="00D86EF7"/>
    <w:rsid w:val="00D87B8E"/>
    <w:rsid w:val="00D87DEF"/>
    <w:rsid w:val="00D90976"/>
    <w:rsid w:val="00D9136B"/>
    <w:rsid w:val="00D913E7"/>
    <w:rsid w:val="00D91F7E"/>
    <w:rsid w:val="00D92024"/>
    <w:rsid w:val="00D92849"/>
    <w:rsid w:val="00D9378D"/>
    <w:rsid w:val="00D94527"/>
    <w:rsid w:val="00D94A3F"/>
    <w:rsid w:val="00D94B4C"/>
    <w:rsid w:val="00D951FA"/>
    <w:rsid w:val="00D95AA8"/>
    <w:rsid w:val="00D96638"/>
    <w:rsid w:val="00D9709A"/>
    <w:rsid w:val="00DA1ABC"/>
    <w:rsid w:val="00DA1CF5"/>
    <w:rsid w:val="00DA2AFA"/>
    <w:rsid w:val="00DA2F73"/>
    <w:rsid w:val="00DA33B7"/>
    <w:rsid w:val="00DA3765"/>
    <w:rsid w:val="00DA3987"/>
    <w:rsid w:val="00DA5A94"/>
    <w:rsid w:val="00DB0AC9"/>
    <w:rsid w:val="00DB1FB0"/>
    <w:rsid w:val="00DB2D88"/>
    <w:rsid w:val="00DB353F"/>
    <w:rsid w:val="00DB3BFF"/>
    <w:rsid w:val="00DB4A0A"/>
    <w:rsid w:val="00DB507A"/>
    <w:rsid w:val="00DB6D28"/>
    <w:rsid w:val="00DB6F64"/>
    <w:rsid w:val="00DC0913"/>
    <w:rsid w:val="00DC0AC9"/>
    <w:rsid w:val="00DC0C60"/>
    <w:rsid w:val="00DC135D"/>
    <w:rsid w:val="00DC25B6"/>
    <w:rsid w:val="00DC4254"/>
    <w:rsid w:val="00DC462F"/>
    <w:rsid w:val="00DC472E"/>
    <w:rsid w:val="00DC59A3"/>
    <w:rsid w:val="00DC6792"/>
    <w:rsid w:val="00DC6807"/>
    <w:rsid w:val="00DD0E97"/>
    <w:rsid w:val="00DD2EAF"/>
    <w:rsid w:val="00DD40B9"/>
    <w:rsid w:val="00DD40F8"/>
    <w:rsid w:val="00DD509C"/>
    <w:rsid w:val="00DD5819"/>
    <w:rsid w:val="00DD6A21"/>
    <w:rsid w:val="00DD7774"/>
    <w:rsid w:val="00DD787C"/>
    <w:rsid w:val="00DE0427"/>
    <w:rsid w:val="00DE0CEF"/>
    <w:rsid w:val="00DE13B7"/>
    <w:rsid w:val="00DE193B"/>
    <w:rsid w:val="00DE2A7D"/>
    <w:rsid w:val="00DE2E19"/>
    <w:rsid w:val="00DE3628"/>
    <w:rsid w:val="00DE4869"/>
    <w:rsid w:val="00DE5511"/>
    <w:rsid w:val="00DE57B6"/>
    <w:rsid w:val="00DE5C01"/>
    <w:rsid w:val="00DE60CA"/>
    <w:rsid w:val="00DE60F6"/>
    <w:rsid w:val="00DE6797"/>
    <w:rsid w:val="00DE6B65"/>
    <w:rsid w:val="00DE6D54"/>
    <w:rsid w:val="00DE7549"/>
    <w:rsid w:val="00DE7D46"/>
    <w:rsid w:val="00DE7FC1"/>
    <w:rsid w:val="00DF04A7"/>
    <w:rsid w:val="00DF0939"/>
    <w:rsid w:val="00DF14AB"/>
    <w:rsid w:val="00DF1B3F"/>
    <w:rsid w:val="00DF2329"/>
    <w:rsid w:val="00DF2426"/>
    <w:rsid w:val="00DF323B"/>
    <w:rsid w:val="00DF362B"/>
    <w:rsid w:val="00DF39B3"/>
    <w:rsid w:val="00DF3B0B"/>
    <w:rsid w:val="00DF3EC0"/>
    <w:rsid w:val="00DF4191"/>
    <w:rsid w:val="00DF53AA"/>
    <w:rsid w:val="00DF6990"/>
    <w:rsid w:val="00DF7A16"/>
    <w:rsid w:val="00E003B5"/>
    <w:rsid w:val="00E0045F"/>
    <w:rsid w:val="00E00E3F"/>
    <w:rsid w:val="00E01A0B"/>
    <w:rsid w:val="00E0206C"/>
    <w:rsid w:val="00E03010"/>
    <w:rsid w:val="00E031A6"/>
    <w:rsid w:val="00E03359"/>
    <w:rsid w:val="00E03961"/>
    <w:rsid w:val="00E03F24"/>
    <w:rsid w:val="00E04B63"/>
    <w:rsid w:val="00E053F3"/>
    <w:rsid w:val="00E06DDA"/>
    <w:rsid w:val="00E0713D"/>
    <w:rsid w:val="00E10ECA"/>
    <w:rsid w:val="00E11C1A"/>
    <w:rsid w:val="00E11F58"/>
    <w:rsid w:val="00E12067"/>
    <w:rsid w:val="00E124C5"/>
    <w:rsid w:val="00E12B66"/>
    <w:rsid w:val="00E1372E"/>
    <w:rsid w:val="00E139E1"/>
    <w:rsid w:val="00E13F7B"/>
    <w:rsid w:val="00E142DE"/>
    <w:rsid w:val="00E153BE"/>
    <w:rsid w:val="00E16472"/>
    <w:rsid w:val="00E16475"/>
    <w:rsid w:val="00E1667B"/>
    <w:rsid w:val="00E17799"/>
    <w:rsid w:val="00E17B2F"/>
    <w:rsid w:val="00E17DE5"/>
    <w:rsid w:val="00E203B0"/>
    <w:rsid w:val="00E206B2"/>
    <w:rsid w:val="00E20755"/>
    <w:rsid w:val="00E207A8"/>
    <w:rsid w:val="00E20A0B"/>
    <w:rsid w:val="00E20A49"/>
    <w:rsid w:val="00E20A8C"/>
    <w:rsid w:val="00E20E73"/>
    <w:rsid w:val="00E21417"/>
    <w:rsid w:val="00E22998"/>
    <w:rsid w:val="00E23ECA"/>
    <w:rsid w:val="00E24717"/>
    <w:rsid w:val="00E24FA3"/>
    <w:rsid w:val="00E25C6D"/>
    <w:rsid w:val="00E26A0A"/>
    <w:rsid w:val="00E26B28"/>
    <w:rsid w:val="00E26F14"/>
    <w:rsid w:val="00E300E0"/>
    <w:rsid w:val="00E3036D"/>
    <w:rsid w:val="00E31465"/>
    <w:rsid w:val="00E31694"/>
    <w:rsid w:val="00E319CB"/>
    <w:rsid w:val="00E31D7F"/>
    <w:rsid w:val="00E31EA3"/>
    <w:rsid w:val="00E32147"/>
    <w:rsid w:val="00E3236F"/>
    <w:rsid w:val="00E328CD"/>
    <w:rsid w:val="00E32CB8"/>
    <w:rsid w:val="00E3324C"/>
    <w:rsid w:val="00E34C78"/>
    <w:rsid w:val="00E34FA6"/>
    <w:rsid w:val="00E356D8"/>
    <w:rsid w:val="00E356F8"/>
    <w:rsid w:val="00E3571F"/>
    <w:rsid w:val="00E36619"/>
    <w:rsid w:val="00E36B95"/>
    <w:rsid w:val="00E3776F"/>
    <w:rsid w:val="00E37F8A"/>
    <w:rsid w:val="00E4003F"/>
    <w:rsid w:val="00E409F7"/>
    <w:rsid w:val="00E4183B"/>
    <w:rsid w:val="00E418CF"/>
    <w:rsid w:val="00E42547"/>
    <w:rsid w:val="00E435C3"/>
    <w:rsid w:val="00E43C41"/>
    <w:rsid w:val="00E44CD6"/>
    <w:rsid w:val="00E454EF"/>
    <w:rsid w:val="00E4565B"/>
    <w:rsid w:val="00E45739"/>
    <w:rsid w:val="00E458F6"/>
    <w:rsid w:val="00E45954"/>
    <w:rsid w:val="00E4686E"/>
    <w:rsid w:val="00E46933"/>
    <w:rsid w:val="00E46A19"/>
    <w:rsid w:val="00E46BB1"/>
    <w:rsid w:val="00E4743B"/>
    <w:rsid w:val="00E47711"/>
    <w:rsid w:val="00E4787E"/>
    <w:rsid w:val="00E47D56"/>
    <w:rsid w:val="00E504CD"/>
    <w:rsid w:val="00E51E12"/>
    <w:rsid w:val="00E52403"/>
    <w:rsid w:val="00E52A33"/>
    <w:rsid w:val="00E52FE4"/>
    <w:rsid w:val="00E539F7"/>
    <w:rsid w:val="00E54184"/>
    <w:rsid w:val="00E545AD"/>
    <w:rsid w:val="00E55531"/>
    <w:rsid w:val="00E559E7"/>
    <w:rsid w:val="00E5645E"/>
    <w:rsid w:val="00E567C9"/>
    <w:rsid w:val="00E574CD"/>
    <w:rsid w:val="00E615D2"/>
    <w:rsid w:val="00E61B9D"/>
    <w:rsid w:val="00E61C21"/>
    <w:rsid w:val="00E6231A"/>
    <w:rsid w:val="00E628C3"/>
    <w:rsid w:val="00E6398A"/>
    <w:rsid w:val="00E63F9B"/>
    <w:rsid w:val="00E64926"/>
    <w:rsid w:val="00E65177"/>
    <w:rsid w:val="00E6523E"/>
    <w:rsid w:val="00E65F79"/>
    <w:rsid w:val="00E66111"/>
    <w:rsid w:val="00E67521"/>
    <w:rsid w:val="00E6781C"/>
    <w:rsid w:val="00E7095C"/>
    <w:rsid w:val="00E71FAA"/>
    <w:rsid w:val="00E71FED"/>
    <w:rsid w:val="00E72B46"/>
    <w:rsid w:val="00E756BD"/>
    <w:rsid w:val="00E75921"/>
    <w:rsid w:val="00E7628E"/>
    <w:rsid w:val="00E76C07"/>
    <w:rsid w:val="00E76FD3"/>
    <w:rsid w:val="00E776F1"/>
    <w:rsid w:val="00E800F7"/>
    <w:rsid w:val="00E8061D"/>
    <w:rsid w:val="00E819E4"/>
    <w:rsid w:val="00E81E56"/>
    <w:rsid w:val="00E84091"/>
    <w:rsid w:val="00E84270"/>
    <w:rsid w:val="00E846D7"/>
    <w:rsid w:val="00E84A74"/>
    <w:rsid w:val="00E85120"/>
    <w:rsid w:val="00E85187"/>
    <w:rsid w:val="00E854B1"/>
    <w:rsid w:val="00E854DE"/>
    <w:rsid w:val="00E860FE"/>
    <w:rsid w:val="00E86227"/>
    <w:rsid w:val="00E86C37"/>
    <w:rsid w:val="00E86E39"/>
    <w:rsid w:val="00E86EA7"/>
    <w:rsid w:val="00E87385"/>
    <w:rsid w:val="00E87DD7"/>
    <w:rsid w:val="00E913AA"/>
    <w:rsid w:val="00E913C5"/>
    <w:rsid w:val="00E91895"/>
    <w:rsid w:val="00E922F0"/>
    <w:rsid w:val="00E9532A"/>
    <w:rsid w:val="00E9687E"/>
    <w:rsid w:val="00E96E02"/>
    <w:rsid w:val="00E97559"/>
    <w:rsid w:val="00E97758"/>
    <w:rsid w:val="00EA0043"/>
    <w:rsid w:val="00EA0246"/>
    <w:rsid w:val="00EA1BBB"/>
    <w:rsid w:val="00EA21A5"/>
    <w:rsid w:val="00EA2273"/>
    <w:rsid w:val="00EA34DA"/>
    <w:rsid w:val="00EA3542"/>
    <w:rsid w:val="00EA44D9"/>
    <w:rsid w:val="00EA460F"/>
    <w:rsid w:val="00EA6C15"/>
    <w:rsid w:val="00EA7CF9"/>
    <w:rsid w:val="00EA7FF2"/>
    <w:rsid w:val="00EB183E"/>
    <w:rsid w:val="00EB1DD5"/>
    <w:rsid w:val="00EB2D1B"/>
    <w:rsid w:val="00EB31F4"/>
    <w:rsid w:val="00EB4C9F"/>
    <w:rsid w:val="00EB5067"/>
    <w:rsid w:val="00EB598F"/>
    <w:rsid w:val="00EB626A"/>
    <w:rsid w:val="00EB6368"/>
    <w:rsid w:val="00EB63CC"/>
    <w:rsid w:val="00EB684D"/>
    <w:rsid w:val="00EB6A76"/>
    <w:rsid w:val="00EB7940"/>
    <w:rsid w:val="00EB7A21"/>
    <w:rsid w:val="00EC196C"/>
    <w:rsid w:val="00EC1F6A"/>
    <w:rsid w:val="00EC2E12"/>
    <w:rsid w:val="00EC38A3"/>
    <w:rsid w:val="00EC409A"/>
    <w:rsid w:val="00EC59B7"/>
    <w:rsid w:val="00EC5F41"/>
    <w:rsid w:val="00EC6275"/>
    <w:rsid w:val="00EC6701"/>
    <w:rsid w:val="00EC6880"/>
    <w:rsid w:val="00EC6D0C"/>
    <w:rsid w:val="00EC710E"/>
    <w:rsid w:val="00EC738B"/>
    <w:rsid w:val="00EC7806"/>
    <w:rsid w:val="00ED1072"/>
    <w:rsid w:val="00ED163D"/>
    <w:rsid w:val="00ED185A"/>
    <w:rsid w:val="00ED2344"/>
    <w:rsid w:val="00ED2B92"/>
    <w:rsid w:val="00ED3E30"/>
    <w:rsid w:val="00ED460C"/>
    <w:rsid w:val="00ED4743"/>
    <w:rsid w:val="00ED4CD4"/>
    <w:rsid w:val="00ED4D63"/>
    <w:rsid w:val="00ED5A19"/>
    <w:rsid w:val="00ED5C07"/>
    <w:rsid w:val="00ED63EF"/>
    <w:rsid w:val="00ED6ED0"/>
    <w:rsid w:val="00ED7277"/>
    <w:rsid w:val="00EE07AE"/>
    <w:rsid w:val="00EE0A80"/>
    <w:rsid w:val="00EE1872"/>
    <w:rsid w:val="00EE2083"/>
    <w:rsid w:val="00EE273E"/>
    <w:rsid w:val="00EE3134"/>
    <w:rsid w:val="00EE3558"/>
    <w:rsid w:val="00EE3BA4"/>
    <w:rsid w:val="00EE4590"/>
    <w:rsid w:val="00EE52FC"/>
    <w:rsid w:val="00EE605D"/>
    <w:rsid w:val="00EE6298"/>
    <w:rsid w:val="00EE67D5"/>
    <w:rsid w:val="00EE6856"/>
    <w:rsid w:val="00EE727C"/>
    <w:rsid w:val="00EE7A44"/>
    <w:rsid w:val="00EE7A89"/>
    <w:rsid w:val="00EF0B79"/>
    <w:rsid w:val="00EF1911"/>
    <w:rsid w:val="00EF1D99"/>
    <w:rsid w:val="00EF1E63"/>
    <w:rsid w:val="00EF23BF"/>
    <w:rsid w:val="00EF2691"/>
    <w:rsid w:val="00EF2B91"/>
    <w:rsid w:val="00EF3C51"/>
    <w:rsid w:val="00EF3CC2"/>
    <w:rsid w:val="00EF3F54"/>
    <w:rsid w:val="00EF4110"/>
    <w:rsid w:val="00EF486A"/>
    <w:rsid w:val="00EF4CB8"/>
    <w:rsid w:val="00EF5383"/>
    <w:rsid w:val="00EF5B80"/>
    <w:rsid w:val="00EF6836"/>
    <w:rsid w:val="00EF6EF2"/>
    <w:rsid w:val="00EF7DE7"/>
    <w:rsid w:val="00F00070"/>
    <w:rsid w:val="00F003B9"/>
    <w:rsid w:val="00F00420"/>
    <w:rsid w:val="00F006FC"/>
    <w:rsid w:val="00F00FA6"/>
    <w:rsid w:val="00F01ACF"/>
    <w:rsid w:val="00F01FBF"/>
    <w:rsid w:val="00F02C29"/>
    <w:rsid w:val="00F02CF1"/>
    <w:rsid w:val="00F02DF9"/>
    <w:rsid w:val="00F02FD4"/>
    <w:rsid w:val="00F04483"/>
    <w:rsid w:val="00F05687"/>
    <w:rsid w:val="00F0692D"/>
    <w:rsid w:val="00F06C17"/>
    <w:rsid w:val="00F06CDE"/>
    <w:rsid w:val="00F07826"/>
    <w:rsid w:val="00F1101C"/>
    <w:rsid w:val="00F11718"/>
    <w:rsid w:val="00F14192"/>
    <w:rsid w:val="00F14731"/>
    <w:rsid w:val="00F14843"/>
    <w:rsid w:val="00F14B68"/>
    <w:rsid w:val="00F14C6D"/>
    <w:rsid w:val="00F14D47"/>
    <w:rsid w:val="00F15431"/>
    <w:rsid w:val="00F159B7"/>
    <w:rsid w:val="00F160E7"/>
    <w:rsid w:val="00F16A25"/>
    <w:rsid w:val="00F2017E"/>
    <w:rsid w:val="00F21839"/>
    <w:rsid w:val="00F21A3A"/>
    <w:rsid w:val="00F21E43"/>
    <w:rsid w:val="00F2316A"/>
    <w:rsid w:val="00F2326E"/>
    <w:rsid w:val="00F232CE"/>
    <w:rsid w:val="00F236E0"/>
    <w:rsid w:val="00F23B2F"/>
    <w:rsid w:val="00F23BA8"/>
    <w:rsid w:val="00F23F16"/>
    <w:rsid w:val="00F256C7"/>
    <w:rsid w:val="00F257A6"/>
    <w:rsid w:val="00F26953"/>
    <w:rsid w:val="00F27279"/>
    <w:rsid w:val="00F273FF"/>
    <w:rsid w:val="00F27481"/>
    <w:rsid w:val="00F30C15"/>
    <w:rsid w:val="00F31835"/>
    <w:rsid w:val="00F31933"/>
    <w:rsid w:val="00F33007"/>
    <w:rsid w:val="00F348DB"/>
    <w:rsid w:val="00F3632E"/>
    <w:rsid w:val="00F366A0"/>
    <w:rsid w:val="00F36B9F"/>
    <w:rsid w:val="00F37053"/>
    <w:rsid w:val="00F373DA"/>
    <w:rsid w:val="00F40218"/>
    <w:rsid w:val="00F408FD"/>
    <w:rsid w:val="00F4100D"/>
    <w:rsid w:val="00F4119C"/>
    <w:rsid w:val="00F42935"/>
    <w:rsid w:val="00F4363E"/>
    <w:rsid w:val="00F4389C"/>
    <w:rsid w:val="00F43AC3"/>
    <w:rsid w:val="00F4610A"/>
    <w:rsid w:val="00F461D5"/>
    <w:rsid w:val="00F463C6"/>
    <w:rsid w:val="00F46A3B"/>
    <w:rsid w:val="00F47013"/>
    <w:rsid w:val="00F47D5C"/>
    <w:rsid w:val="00F47DC7"/>
    <w:rsid w:val="00F505AD"/>
    <w:rsid w:val="00F506DF"/>
    <w:rsid w:val="00F50A9E"/>
    <w:rsid w:val="00F51619"/>
    <w:rsid w:val="00F52763"/>
    <w:rsid w:val="00F5349B"/>
    <w:rsid w:val="00F5459F"/>
    <w:rsid w:val="00F54A4F"/>
    <w:rsid w:val="00F56401"/>
    <w:rsid w:val="00F5644F"/>
    <w:rsid w:val="00F56EC6"/>
    <w:rsid w:val="00F57E74"/>
    <w:rsid w:val="00F60406"/>
    <w:rsid w:val="00F61276"/>
    <w:rsid w:val="00F614DF"/>
    <w:rsid w:val="00F615A3"/>
    <w:rsid w:val="00F61DE1"/>
    <w:rsid w:val="00F62603"/>
    <w:rsid w:val="00F63C04"/>
    <w:rsid w:val="00F64C76"/>
    <w:rsid w:val="00F64E6B"/>
    <w:rsid w:val="00F65AE7"/>
    <w:rsid w:val="00F66BB5"/>
    <w:rsid w:val="00F6750C"/>
    <w:rsid w:val="00F702CA"/>
    <w:rsid w:val="00F71349"/>
    <w:rsid w:val="00F71464"/>
    <w:rsid w:val="00F71B3B"/>
    <w:rsid w:val="00F71D10"/>
    <w:rsid w:val="00F727BA"/>
    <w:rsid w:val="00F73040"/>
    <w:rsid w:val="00F73B9C"/>
    <w:rsid w:val="00F73D22"/>
    <w:rsid w:val="00F744EA"/>
    <w:rsid w:val="00F74859"/>
    <w:rsid w:val="00F748AF"/>
    <w:rsid w:val="00F750BA"/>
    <w:rsid w:val="00F754A0"/>
    <w:rsid w:val="00F758A5"/>
    <w:rsid w:val="00F759AC"/>
    <w:rsid w:val="00F766A4"/>
    <w:rsid w:val="00F7689C"/>
    <w:rsid w:val="00F77BD4"/>
    <w:rsid w:val="00F80B51"/>
    <w:rsid w:val="00F81926"/>
    <w:rsid w:val="00F81FE3"/>
    <w:rsid w:val="00F827C8"/>
    <w:rsid w:val="00F82AD5"/>
    <w:rsid w:val="00F830F7"/>
    <w:rsid w:val="00F83A4E"/>
    <w:rsid w:val="00F83D1E"/>
    <w:rsid w:val="00F83E6B"/>
    <w:rsid w:val="00F84D7A"/>
    <w:rsid w:val="00F8563B"/>
    <w:rsid w:val="00F85664"/>
    <w:rsid w:val="00F8571F"/>
    <w:rsid w:val="00F86E8C"/>
    <w:rsid w:val="00F90326"/>
    <w:rsid w:val="00F90D71"/>
    <w:rsid w:val="00F90F78"/>
    <w:rsid w:val="00F91194"/>
    <w:rsid w:val="00F91CD5"/>
    <w:rsid w:val="00F91F50"/>
    <w:rsid w:val="00F92299"/>
    <w:rsid w:val="00F92715"/>
    <w:rsid w:val="00F932B6"/>
    <w:rsid w:val="00F9367E"/>
    <w:rsid w:val="00F938F9"/>
    <w:rsid w:val="00F94656"/>
    <w:rsid w:val="00F94B03"/>
    <w:rsid w:val="00F95C5F"/>
    <w:rsid w:val="00F95C62"/>
    <w:rsid w:val="00F95DDD"/>
    <w:rsid w:val="00F96E08"/>
    <w:rsid w:val="00F97778"/>
    <w:rsid w:val="00F979F6"/>
    <w:rsid w:val="00FA1EDD"/>
    <w:rsid w:val="00FA2051"/>
    <w:rsid w:val="00FA2152"/>
    <w:rsid w:val="00FA252B"/>
    <w:rsid w:val="00FA278A"/>
    <w:rsid w:val="00FA2864"/>
    <w:rsid w:val="00FA2B1A"/>
    <w:rsid w:val="00FA4916"/>
    <w:rsid w:val="00FA4E64"/>
    <w:rsid w:val="00FA690D"/>
    <w:rsid w:val="00FA7EF7"/>
    <w:rsid w:val="00FA7F6A"/>
    <w:rsid w:val="00FB13FC"/>
    <w:rsid w:val="00FB15A3"/>
    <w:rsid w:val="00FB176C"/>
    <w:rsid w:val="00FB196D"/>
    <w:rsid w:val="00FB22B1"/>
    <w:rsid w:val="00FB2694"/>
    <w:rsid w:val="00FB2A87"/>
    <w:rsid w:val="00FB2C42"/>
    <w:rsid w:val="00FB2E27"/>
    <w:rsid w:val="00FB3331"/>
    <w:rsid w:val="00FB39D4"/>
    <w:rsid w:val="00FB4DF9"/>
    <w:rsid w:val="00FB55BC"/>
    <w:rsid w:val="00FB7140"/>
    <w:rsid w:val="00FB754B"/>
    <w:rsid w:val="00FB7580"/>
    <w:rsid w:val="00FB775B"/>
    <w:rsid w:val="00FB7B35"/>
    <w:rsid w:val="00FB7DBD"/>
    <w:rsid w:val="00FC04A8"/>
    <w:rsid w:val="00FC055F"/>
    <w:rsid w:val="00FC0628"/>
    <w:rsid w:val="00FC077E"/>
    <w:rsid w:val="00FC0DF7"/>
    <w:rsid w:val="00FC0E23"/>
    <w:rsid w:val="00FC14EA"/>
    <w:rsid w:val="00FC17FD"/>
    <w:rsid w:val="00FC2698"/>
    <w:rsid w:val="00FC28E1"/>
    <w:rsid w:val="00FC325F"/>
    <w:rsid w:val="00FC5113"/>
    <w:rsid w:val="00FC581E"/>
    <w:rsid w:val="00FC6D5F"/>
    <w:rsid w:val="00FC727D"/>
    <w:rsid w:val="00FC74F7"/>
    <w:rsid w:val="00FD01B5"/>
    <w:rsid w:val="00FD0256"/>
    <w:rsid w:val="00FD0699"/>
    <w:rsid w:val="00FD0DBF"/>
    <w:rsid w:val="00FD0E5F"/>
    <w:rsid w:val="00FD186C"/>
    <w:rsid w:val="00FD2C68"/>
    <w:rsid w:val="00FD3706"/>
    <w:rsid w:val="00FD4529"/>
    <w:rsid w:val="00FD466C"/>
    <w:rsid w:val="00FD59A4"/>
    <w:rsid w:val="00FD7D3E"/>
    <w:rsid w:val="00FE020E"/>
    <w:rsid w:val="00FE1429"/>
    <w:rsid w:val="00FE19A6"/>
    <w:rsid w:val="00FE1B3E"/>
    <w:rsid w:val="00FE1BA3"/>
    <w:rsid w:val="00FE2A7A"/>
    <w:rsid w:val="00FE3CBC"/>
    <w:rsid w:val="00FE527E"/>
    <w:rsid w:val="00FE5602"/>
    <w:rsid w:val="00FE59B4"/>
    <w:rsid w:val="00FE5A51"/>
    <w:rsid w:val="00FE6A22"/>
    <w:rsid w:val="00FF0CFF"/>
    <w:rsid w:val="00FF133B"/>
    <w:rsid w:val="00FF1D03"/>
    <w:rsid w:val="00FF212C"/>
    <w:rsid w:val="00FF224D"/>
    <w:rsid w:val="00FF2D11"/>
    <w:rsid w:val="00FF35B9"/>
    <w:rsid w:val="00FF3B51"/>
    <w:rsid w:val="00FF4583"/>
    <w:rsid w:val="00FF460C"/>
    <w:rsid w:val="00FF60DF"/>
    <w:rsid w:val="00FF63B3"/>
    <w:rsid w:val="00FF68EE"/>
    <w:rsid w:val="00FF75D6"/>
    <w:rsid w:val="00FF7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64E9247D"/>
  <w15:chartTrackingRefBased/>
  <w15:docId w15:val="{457FAE66-C713-4980-A04D-CC33999A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uiPriority="99"/>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uiPriority="99"/>
    <w:lsdException w:name="line number" w:locked="1"/>
    <w:lsdException w:name="page number" w:locked="1"/>
    <w:lsdException w:name="endnote reference" w:uiPriority="99"/>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uiPriority="99"/>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uiPriority w:val="9"/>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uiPriority w:val="9"/>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paragraph" w:styleId="ListParagraph">
    <w:name w:val="List Paragraph"/>
    <w:aliases w:val="List Paragraph1,List Paragraph11,Bullet point,Recommendation,List Paragraph Number"/>
    <w:basedOn w:val="Normal"/>
    <w:link w:val="ListParagraphChar"/>
    <w:uiPriority w:val="34"/>
    <w:qFormat/>
    <w:rsid w:val="005C4178"/>
    <w:pPr>
      <w:ind w:left="720"/>
      <w:contextualSpacing/>
    </w:pPr>
  </w:style>
  <w:style w:type="character" w:styleId="CommentReference">
    <w:name w:val="annotation reference"/>
    <w:basedOn w:val="DefaultParagraphFont"/>
    <w:uiPriority w:val="99"/>
    <w:locked/>
    <w:rsid w:val="0074269D"/>
    <w:rPr>
      <w:sz w:val="16"/>
      <w:szCs w:val="16"/>
    </w:rPr>
  </w:style>
  <w:style w:type="paragraph" w:styleId="CommentText">
    <w:name w:val="annotation text"/>
    <w:basedOn w:val="Normal"/>
    <w:link w:val="CommentTextChar"/>
    <w:uiPriority w:val="99"/>
    <w:locked/>
    <w:rsid w:val="0074269D"/>
    <w:rPr>
      <w:sz w:val="20"/>
      <w:szCs w:val="20"/>
    </w:rPr>
  </w:style>
  <w:style w:type="character" w:customStyle="1" w:styleId="CommentTextChar">
    <w:name w:val="Comment Text Char"/>
    <w:basedOn w:val="DefaultParagraphFont"/>
    <w:link w:val="CommentText"/>
    <w:uiPriority w:val="99"/>
    <w:rsid w:val="0074269D"/>
    <w:rPr>
      <w:rFonts w:ascii="Arial" w:eastAsia="MS Mincho" w:hAnsi="Arial"/>
    </w:rPr>
  </w:style>
  <w:style w:type="paragraph" w:styleId="CommentSubject">
    <w:name w:val="annotation subject"/>
    <w:basedOn w:val="CommentText"/>
    <w:next w:val="CommentText"/>
    <w:link w:val="CommentSubjectChar"/>
    <w:locked/>
    <w:rsid w:val="0074269D"/>
    <w:rPr>
      <w:b/>
      <w:bCs/>
    </w:rPr>
  </w:style>
  <w:style w:type="character" w:customStyle="1" w:styleId="CommentSubjectChar">
    <w:name w:val="Comment Subject Char"/>
    <w:basedOn w:val="CommentTextChar"/>
    <w:link w:val="CommentSubject"/>
    <w:rsid w:val="0074269D"/>
    <w:rPr>
      <w:rFonts w:ascii="Arial" w:eastAsia="MS Mincho" w:hAnsi="Arial"/>
      <w:b/>
      <w:bCs/>
    </w:rPr>
  </w:style>
  <w:style w:type="character" w:customStyle="1" w:styleId="hps-normal1">
    <w:name w:val="hps-normal1"/>
    <w:basedOn w:val="DefaultParagraphFont"/>
    <w:rsid w:val="00C21817"/>
  </w:style>
  <w:style w:type="paragraph" w:customStyle="1" w:styleId="Default">
    <w:name w:val="Default"/>
    <w:rsid w:val="00F006FC"/>
    <w:pPr>
      <w:autoSpaceDE w:val="0"/>
      <w:autoSpaceDN w:val="0"/>
      <w:adjustRightInd w:val="0"/>
    </w:pPr>
    <w:rPr>
      <w:rFonts w:ascii="Helvetica 45 Light" w:hAnsi="Helvetica 45 Light" w:cs="Helvetica 45 Light"/>
      <w:color w:val="000000"/>
      <w:sz w:val="24"/>
      <w:szCs w:val="24"/>
    </w:rPr>
  </w:style>
  <w:style w:type="paragraph" w:styleId="NoSpacing">
    <w:name w:val="No Spacing"/>
    <w:aliases w:val="No Spacing1,No Spacing11"/>
    <w:basedOn w:val="Normal"/>
    <w:qFormat/>
    <w:rsid w:val="004E0ED8"/>
    <w:pPr>
      <w:tabs>
        <w:tab w:val="num" w:pos="720"/>
      </w:tabs>
      <w:ind w:left="720" w:hanging="360"/>
    </w:pPr>
    <w:rPr>
      <w:rFonts w:eastAsia="Times New Roman" w:cs="Arial"/>
      <w:sz w:val="20"/>
      <w:szCs w:val="20"/>
    </w:rPr>
  </w:style>
  <w:style w:type="character" w:customStyle="1" w:styleId="element-invisible1">
    <w:name w:val="element-invisible1"/>
    <w:basedOn w:val="DefaultParagraphFont"/>
    <w:rsid w:val="00645B2B"/>
  </w:style>
  <w:style w:type="character" w:customStyle="1" w:styleId="FootnoteTextChar">
    <w:name w:val="Footnote Text Char"/>
    <w:basedOn w:val="DefaultParagraphFont"/>
    <w:link w:val="FootnoteText"/>
    <w:semiHidden/>
    <w:locked/>
    <w:rsid w:val="0052518A"/>
    <w:rPr>
      <w:rFonts w:ascii="Arial" w:eastAsia="MS Mincho" w:hAnsi="Arial"/>
    </w:rPr>
  </w:style>
  <w:style w:type="numbering" w:customStyle="1" w:styleId="ImportedStyle7">
    <w:name w:val="Imported Style 7"/>
    <w:rsid w:val="00B90766"/>
    <w:pPr>
      <w:numPr>
        <w:numId w:val="21"/>
      </w:numPr>
    </w:pPr>
  </w:style>
  <w:style w:type="paragraph" w:customStyle="1" w:styleId="Body">
    <w:name w:val="Body"/>
    <w:rsid w:val="00D82061"/>
    <w:pPr>
      <w:pBdr>
        <w:top w:val="nil"/>
        <w:left w:val="nil"/>
        <w:bottom w:val="nil"/>
        <w:right w:val="nil"/>
        <w:between w:val="nil"/>
        <w:bar w:val="nil"/>
      </w:pBdr>
      <w:spacing w:before="240" w:after="240" w:line="259" w:lineRule="auto"/>
    </w:pPr>
    <w:rPr>
      <w:rFonts w:ascii="Arial" w:eastAsia="Arial" w:hAnsi="Arial" w:cs="Arial"/>
      <w:color w:val="000000"/>
      <w:sz w:val="24"/>
      <w:szCs w:val="24"/>
      <w:u w:color="000000"/>
      <w:bdr w:val="nil"/>
    </w:rPr>
  </w:style>
  <w:style w:type="paragraph" w:customStyle="1" w:styleId="hps-normal">
    <w:name w:val="hps-normal"/>
    <w:basedOn w:val="Normal"/>
    <w:rsid w:val="00B53984"/>
    <w:pPr>
      <w:spacing w:before="180" w:after="180"/>
      <w:ind w:firstLine="240"/>
    </w:pPr>
    <w:rPr>
      <w:rFonts w:ascii="Times New Roman" w:eastAsia="Times New Roman" w:hAnsi="Times New Roman"/>
      <w:color w:val="444444"/>
    </w:rPr>
  </w:style>
  <w:style w:type="paragraph" w:styleId="Quote">
    <w:name w:val="Quote"/>
    <w:basedOn w:val="Normal"/>
    <w:next w:val="Normal"/>
    <w:link w:val="QuoteChar"/>
    <w:uiPriority w:val="29"/>
    <w:qFormat/>
    <w:rsid w:val="00E20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20A0B"/>
    <w:rPr>
      <w:rFonts w:ascii="Arial" w:eastAsia="MS Mincho" w:hAnsi="Arial"/>
      <w:i/>
      <w:iCs/>
      <w:color w:val="404040" w:themeColor="text1" w:themeTint="BF"/>
      <w:sz w:val="24"/>
      <w:szCs w:val="24"/>
    </w:rPr>
  </w:style>
  <w:style w:type="character" w:customStyle="1" w:styleId="ListParagraphChar">
    <w:name w:val="List Paragraph Char"/>
    <w:aliases w:val="List Paragraph1 Char,List Paragraph11 Char,Bullet point Char,Recommendation Char,List Paragraph Number Char"/>
    <w:basedOn w:val="DefaultParagraphFont"/>
    <w:link w:val="ListParagraph"/>
    <w:uiPriority w:val="34"/>
    <w:locked/>
    <w:rsid w:val="00C8159B"/>
    <w:rPr>
      <w:rFonts w:ascii="Arial" w:eastAsia="MS Mincho" w:hAnsi="Arial"/>
      <w:sz w:val="24"/>
      <w:szCs w:val="24"/>
    </w:rPr>
  </w:style>
  <w:style w:type="paragraph" w:customStyle="1" w:styleId="style41">
    <w:name w:val="style41"/>
    <w:basedOn w:val="Normal"/>
    <w:rsid w:val="001D7C00"/>
    <w:pPr>
      <w:spacing w:before="100" w:beforeAutospacing="1" w:after="100" w:afterAutospacing="1"/>
    </w:pPr>
    <w:rPr>
      <w:rFonts w:ascii="Times New Roman" w:eastAsia="Times New Roman" w:hAnsi="Times New Roman"/>
      <w:sz w:val="17"/>
      <w:szCs w:val="17"/>
    </w:rPr>
  </w:style>
  <w:style w:type="character" w:customStyle="1" w:styleId="PlainTextChar">
    <w:name w:val="Plain Text Char"/>
    <w:basedOn w:val="DefaultParagraphFont"/>
    <w:link w:val="PlainText"/>
    <w:uiPriority w:val="99"/>
    <w:semiHidden/>
    <w:rsid w:val="00F702CA"/>
    <w:rPr>
      <w:rFonts w:ascii="Courier New" w:eastAsia="MS Mincho" w:hAnsi="Courier New" w:cs="Courier New"/>
    </w:rPr>
  </w:style>
  <w:style w:type="paragraph" w:styleId="Revision">
    <w:name w:val="Revision"/>
    <w:hidden/>
    <w:uiPriority w:val="99"/>
    <w:semiHidden/>
    <w:rsid w:val="00211CD0"/>
    <w:rPr>
      <w:rFonts w:ascii="Arial" w:eastAsia="MS Mincho"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331">
      <w:bodyDiv w:val="1"/>
      <w:marLeft w:val="0"/>
      <w:marRight w:val="0"/>
      <w:marTop w:val="0"/>
      <w:marBottom w:val="0"/>
      <w:divBdr>
        <w:top w:val="none" w:sz="0" w:space="0" w:color="auto"/>
        <w:left w:val="none" w:sz="0" w:space="0" w:color="auto"/>
        <w:bottom w:val="none" w:sz="0" w:space="0" w:color="auto"/>
        <w:right w:val="none" w:sz="0" w:space="0" w:color="auto"/>
      </w:divBdr>
    </w:div>
    <w:div w:id="147400061">
      <w:bodyDiv w:val="1"/>
      <w:marLeft w:val="0"/>
      <w:marRight w:val="0"/>
      <w:marTop w:val="0"/>
      <w:marBottom w:val="0"/>
      <w:divBdr>
        <w:top w:val="none" w:sz="0" w:space="0" w:color="auto"/>
        <w:left w:val="none" w:sz="0" w:space="0" w:color="auto"/>
        <w:bottom w:val="none" w:sz="0" w:space="0" w:color="auto"/>
        <w:right w:val="none" w:sz="0" w:space="0" w:color="auto"/>
      </w:divBdr>
      <w:divsChild>
        <w:div w:id="593823975">
          <w:marLeft w:val="0"/>
          <w:marRight w:val="0"/>
          <w:marTop w:val="0"/>
          <w:marBottom w:val="0"/>
          <w:divBdr>
            <w:top w:val="single" w:sz="6" w:space="8" w:color="B8B8B8"/>
            <w:left w:val="none" w:sz="0" w:space="0" w:color="auto"/>
            <w:bottom w:val="none" w:sz="0" w:space="0" w:color="auto"/>
            <w:right w:val="none" w:sz="0" w:space="0" w:color="auto"/>
          </w:divBdr>
          <w:divsChild>
            <w:div w:id="1201016904">
              <w:marLeft w:val="2"/>
              <w:marRight w:val="2"/>
              <w:marTop w:val="0"/>
              <w:marBottom w:val="0"/>
              <w:divBdr>
                <w:top w:val="single" w:sz="6" w:space="8" w:color="CDCCD4"/>
                <w:left w:val="single" w:sz="6" w:space="8" w:color="CDCCD4"/>
                <w:bottom w:val="single" w:sz="6" w:space="8" w:color="CDCCD4"/>
                <w:right w:val="single" w:sz="6" w:space="4" w:color="CDCCD4"/>
              </w:divBdr>
              <w:divsChild>
                <w:div w:id="1437167078">
                  <w:marLeft w:val="0"/>
                  <w:marRight w:val="0"/>
                  <w:marTop w:val="75"/>
                  <w:marBottom w:val="75"/>
                  <w:divBdr>
                    <w:top w:val="single" w:sz="6" w:space="8" w:color="CCCCD4"/>
                    <w:left w:val="single" w:sz="6" w:space="8" w:color="CCCCD4"/>
                    <w:bottom w:val="single" w:sz="6" w:space="8" w:color="CCCCD4"/>
                    <w:right w:val="single" w:sz="6" w:space="8" w:color="CCCCD4"/>
                  </w:divBdr>
                  <w:divsChild>
                    <w:div w:id="173419312">
                      <w:marLeft w:val="0"/>
                      <w:marRight w:val="0"/>
                      <w:marTop w:val="0"/>
                      <w:marBottom w:val="0"/>
                      <w:divBdr>
                        <w:top w:val="none" w:sz="0" w:space="0" w:color="auto"/>
                        <w:left w:val="none" w:sz="0" w:space="0" w:color="auto"/>
                        <w:bottom w:val="none" w:sz="0" w:space="0" w:color="auto"/>
                        <w:right w:val="none" w:sz="0" w:space="0" w:color="auto"/>
                      </w:divBdr>
                      <w:divsChild>
                        <w:div w:id="1114207167">
                          <w:marLeft w:val="0"/>
                          <w:marRight w:val="0"/>
                          <w:marTop w:val="0"/>
                          <w:marBottom w:val="0"/>
                          <w:divBdr>
                            <w:top w:val="none" w:sz="0" w:space="0" w:color="auto"/>
                            <w:left w:val="none" w:sz="0" w:space="0" w:color="auto"/>
                            <w:bottom w:val="none" w:sz="0" w:space="0" w:color="auto"/>
                            <w:right w:val="single" w:sz="6" w:space="0" w:color="CCCCD4"/>
                          </w:divBdr>
                          <w:divsChild>
                            <w:div w:id="430051524">
                              <w:marLeft w:val="0"/>
                              <w:marRight w:val="0"/>
                              <w:marTop w:val="0"/>
                              <w:marBottom w:val="0"/>
                              <w:divBdr>
                                <w:top w:val="none" w:sz="0" w:space="0" w:color="auto"/>
                                <w:left w:val="none" w:sz="0" w:space="0" w:color="auto"/>
                                <w:bottom w:val="none" w:sz="0" w:space="0" w:color="auto"/>
                                <w:right w:val="none" w:sz="0" w:space="0" w:color="auto"/>
                              </w:divBdr>
                              <w:divsChild>
                                <w:div w:id="5419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88059">
      <w:bodyDiv w:val="1"/>
      <w:marLeft w:val="0"/>
      <w:marRight w:val="0"/>
      <w:marTop w:val="0"/>
      <w:marBottom w:val="0"/>
      <w:divBdr>
        <w:top w:val="none" w:sz="0" w:space="0" w:color="auto"/>
        <w:left w:val="none" w:sz="0" w:space="0" w:color="auto"/>
        <w:bottom w:val="none" w:sz="0" w:space="0" w:color="auto"/>
        <w:right w:val="none" w:sz="0" w:space="0" w:color="auto"/>
      </w:divBdr>
      <w:divsChild>
        <w:div w:id="2007901013">
          <w:marLeft w:val="0"/>
          <w:marRight w:val="0"/>
          <w:marTop w:val="0"/>
          <w:marBottom w:val="0"/>
          <w:divBdr>
            <w:top w:val="none" w:sz="0" w:space="0" w:color="auto"/>
            <w:left w:val="none" w:sz="0" w:space="0" w:color="auto"/>
            <w:bottom w:val="none" w:sz="0" w:space="0" w:color="auto"/>
            <w:right w:val="none" w:sz="0" w:space="0" w:color="auto"/>
          </w:divBdr>
          <w:divsChild>
            <w:div w:id="1662418182">
              <w:marLeft w:val="0"/>
              <w:marRight w:val="0"/>
              <w:marTop w:val="0"/>
              <w:marBottom w:val="0"/>
              <w:divBdr>
                <w:top w:val="none" w:sz="0" w:space="0" w:color="auto"/>
                <w:left w:val="none" w:sz="0" w:space="0" w:color="auto"/>
                <w:bottom w:val="none" w:sz="0" w:space="0" w:color="auto"/>
                <w:right w:val="none" w:sz="0" w:space="0" w:color="auto"/>
              </w:divBdr>
              <w:divsChild>
                <w:div w:id="1923176657">
                  <w:marLeft w:val="0"/>
                  <w:marRight w:val="0"/>
                  <w:marTop w:val="0"/>
                  <w:marBottom w:val="0"/>
                  <w:divBdr>
                    <w:top w:val="none" w:sz="0" w:space="0" w:color="auto"/>
                    <w:left w:val="none" w:sz="0" w:space="0" w:color="auto"/>
                    <w:bottom w:val="none" w:sz="0" w:space="0" w:color="auto"/>
                    <w:right w:val="none" w:sz="0" w:space="0" w:color="auto"/>
                  </w:divBdr>
                  <w:divsChild>
                    <w:div w:id="194581181">
                      <w:marLeft w:val="0"/>
                      <w:marRight w:val="0"/>
                      <w:marTop w:val="0"/>
                      <w:marBottom w:val="0"/>
                      <w:divBdr>
                        <w:top w:val="none" w:sz="0" w:space="0" w:color="auto"/>
                        <w:left w:val="none" w:sz="0" w:space="0" w:color="auto"/>
                        <w:bottom w:val="none" w:sz="0" w:space="0" w:color="auto"/>
                        <w:right w:val="none" w:sz="0" w:space="0" w:color="auto"/>
                      </w:divBdr>
                      <w:divsChild>
                        <w:div w:id="458307166">
                          <w:marLeft w:val="0"/>
                          <w:marRight w:val="0"/>
                          <w:marTop w:val="0"/>
                          <w:marBottom w:val="0"/>
                          <w:divBdr>
                            <w:top w:val="none" w:sz="0" w:space="0" w:color="auto"/>
                            <w:left w:val="none" w:sz="0" w:space="0" w:color="auto"/>
                            <w:bottom w:val="none" w:sz="0" w:space="0" w:color="auto"/>
                            <w:right w:val="none" w:sz="0" w:space="0" w:color="auto"/>
                          </w:divBdr>
                          <w:divsChild>
                            <w:div w:id="1705788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47633">
      <w:bodyDiv w:val="1"/>
      <w:marLeft w:val="0"/>
      <w:marRight w:val="0"/>
      <w:marTop w:val="0"/>
      <w:marBottom w:val="0"/>
      <w:divBdr>
        <w:top w:val="none" w:sz="0" w:space="0" w:color="auto"/>
        <w:left w:val="none" w:sz="0" w:space="0" w:color="auto"/>
        <w:bottom w:val="none" w:sz="0" w:space="0" w:color="auto"/>
        <w:right w:val="none" w:sz="0" w:space="0" w:color="auto"/>
      </w:divBdr>
    </w:div>
    <w:div w:id="249199340">
      <w:bodyDiv w:val="1"/>
      <w:marLeft w:val="0"/>
      <w:marRight w:val="0"/>
      <w:marTop w:val="0"/>
      <w:marBottom w:val="0"/>
      <w:divBdr>
        <w:top w:val="none" w:sz="0" w:space="0" w:color="auto"/>
        <w:left w:val="none" w:sz="0" w:space="0" w:color="auto"/>
        <w:bottom w:val="none" w:sz="0" w:space="0" w:color="auto"/>
        <w:right w:val="none" w:sz="0" w:space="0" w:color="auto"/>
      </w:divBdr>
    </w:div>
    <w:div w:id="292564388">
      <w:bodyDiv w:val="1"/>
      <w:marLeft w:val="0"/>
      <w:marRight w:val="0"/>
      <w:marTop w:val="0"/>
      <w:marBottom w:val="0"/>
      <w:divBdr>
        <w:top w:val="none" w:sz="0" w:space="0" w:color="auto"/>
        <w:left w:val="none" w:sz="0" w:space="0" w:color="auto"/>
        <w:bottom w:val="none" w:sz="0" w:space="0" w:color="auto"/>
        <w:right w:val="none" w:sz="0" w:space="0" w:color="auto"/>
      </w:divBdr>
    </w:div>
    <w:div w:id="357238248">
      <w:bodyDiv w:val="1"/>
      <w:marLeft w:val="0"/>
      <w:marRight w:val="0"/>
      <w:marTop w:val="0"/>
      <w:marBottom w:val="0"/>
      <w:divBdr>
        <w:top w:val="none" w:sz="0" w:space="0" w:color="auto"/>
        <w:left w:val="none" w:sz="0" w:space="0" w:color="auto"/>
        <w:bottom w:val="none" w:sz="0" w:space="0" w:color="auto"/>
        <w:right w:val="none" w:sz="0" w:space="0" w:color="auto"/>
      </w:divBdr>
    </w:div>
    <w:div w:id="392512185">
      <w:bodyDiv w:val="1"/>
      <w:marLeft w:val="0"/>
      <w:marRight w:val="0"/>
      <w:marTop w:val="0"/>
      <w:marBottom w:val="0"/>
      <w:divBdr>
        <w:top w:val="none" w:sz="0" w:space="0" w:color="auto"/>
        <w:left w:val="none" w:sz="0" w:space="0" w:color="auto"/>
        <w:bottom w:val="none" w:sz="0" w:space="0" w:color="auto"/>
        <w:right w:val="none" w:sz="0" w:space="0" w:color="auto"/>
      </w:divBdr>
      <w:divsChild>
        <w:div w:id="545340090">
          <w:marLeft w:val="0"/>
          <w:marRight w:val="0"/>
          <w:marTop w:val="0"/>
          <w:marBottom w:val="0"/>
          <w:divBdr>
            <w:top w:val="none" w:sz="0" w:space="0" w:color="auto"/>
            <w:left w:val="none" w:sz="0" w:space="0" w:color="auto"/>
            <w:bottom w:val="none" w:sz="0" w:space="0" w:color="auto"/>
            <w:right w:val="none" w:sz="0" w:space="0" w:color="auto"/>
          </w:divBdr>
          <w:divsChild>
            <w:div w:id="43406646">
              <w:marLeft w:val="0"/>
              <w:marRight w:val="0"/>
              <w:marTop w:val="0"/>
              <w:marBottom w:val="0"/>
              <w:divBdr>
                <w:top w:val="none" w:sz="0" w:space="0" w:color="auto"/>
                <w:left w:val="none" w:sz="0" w:space="0" w:color="auto"/>
                <w:bottom w:val="none" w:sz="0" w:space="0" w:color="auto"/>
                <w:right w:val="none" w:sz="0" w:space="0" w:color="auto"/>
              </w:divBdr>
              <w:divsChild>
                <w:div w:id="1677683433">
                  <w:marLeft w:val="0"/>
                  <w:marRight w:val="0"/>
                  <w:marTop w:val="0"/>
                  <w:marBottom w:val="0"/>
                  <w:divBdr>
                    <w:top w:val="none" w:sz="0" w:space="0" w:color="auto"/>
                    <w:left w:val="none" w:sz="0" w:space="0" w:color="auto"/>
                    <w:bottom w:val="none" w:sz="0" w:space="0" w:color="auto"/>
                    <w:right w:val="none" w:sz="0" w:space="0" w:color="auto"/>
                  </w:divBdr>
                  <w:divsChild>
                    <w:div w:id="918758882">
                      <w:marLeft w:val="0"/>
                      <w:marRight w:val="0"/>
                      <w:marTop w:val="0"/>
                      <w:marBottom w:val="0"/>
                      <w:divBdr>
                        <w:top w:val="none" w:sz="0" w:space="0" w:color="auto"/>
                        <w:left w:val="none" w:sz="0" w:space="0" w:color="auto"/>
                        <w:bottom w:val="none" w:sz="0" w:space="0" w:color="auto"/>
                        <w:right w:val="none" w:sz="0" w:space="0" w:color="auto"/>
                      </w:divBdr>
                      <w:divsChild>
                        <w:div w:id="952128356">
                          <w:marLeft w:val="0"/>
                          <w:marRight w:val="0"/>
                          <w:marTop w:val="0"/>
                          <w:marBottom w:val="0"/>
                          <w:divBdr>
                            <w:top w:val="none" w:sz="0" w:space="0" w:color="auto"/>
                            <w:left w:val="none" w:sz="0" w:space="0" w:color="auto"/>
                            <w:bottom w:val="none" w:sz="0" w:space="0" w:color="auto"/>
                            <w:right w:val="none" w:sz="0" w:space="0" w:color="auto"/>
                          </w:divBdr>
                          <w:divsChild>
                            <w:div w:id="1008555656">
                              <w:marLeft w:val="0"/>
                              <w:marRight w:val="0"/>
                              <w:marTop w:val="0"/>
                              <w:marBottom w:val="0"/>
                              <w:divBdr>
                                <w:top w:val="none" w:sz="0" w:space="0" w:color="auto"/>
                                <w:left w:val="none" w:sz="0" w:space="0" w:color="auto"/>
                                <w:bottom w:val="none" w:sz="0" w:space="0" w:color="auto"/>
                                <w:right w:val="none" w:sz="0" w:space="0" w:color="auto"/>
                              </w:divBdr>
                              <w:divsChild>
                                <w:div w:id="673798268">
                                  <w:marLeft w:val="0"/>
                                  <w:marRight w:val="0"/>
                                  <w:marTop w:val="0"/>
                                  <w:marBottom w:val="0"/>
                                  <w:divBdr>
                                    <w:top w:val="none" w:sz="0" w:space="0" w:color="auto"/>
                                    <w:left w:val="none" w:sz="0" w:space="0" w:color="auto"/>
                                    <w:bottom w:val="none" w:sz="0" w:space="0" w:color="auto"/>
                                    <w:right w:val="none" w:sz="0" w:space="0" w:color="auto"/>
                                  </w:divBdr>
                                  <w:divsChild>
                                    <w:div w:id="4527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96974">
      <w:bodyDiv w:val="1"/>
      <w:marLeft w:val="0"/>
      <w:marRight w:val="0"/>
      <w:marTop w:val="0"/>
      <w:marBottom w:val="0"/>
      <w:divBdr>
        <w:top w:val="none" w:sz="0" w:space="0" w:color="auto"/>
        <w:left w:val="none" w:sz="0" w:space="0" w:color="auto"/>
        <w:bottom w:val="none" w:sz="0" w:space="0" w:color="auto"/>
        <w:right w:val="none" w:sz="0" w:space="0" w:color="auto"/>
      </w:divBdr>
    </w:div>
    <w:div w:id="439767365">
      <w:bodyDiv w:val="1"/>
      <w:marLeft w:val="0"/>
      <w:marRight w:val="0"/>
      <w:marTop w:val="0"/>
      <w:marBottom w:val="0"/>
      <w:divBdr>
        <w:top w:val="none" w:sz="0" w:space="0" w:color="auto"/>
        <w:left w:val="none" w:sz="0" w:space="0" w:color="auto"/>
        <w:bottom w:val="none" w:sz="0" w:space="0" w:color="auto"/>
        <w:right w:val="none" w:sz="0" w:space="0" w:color="auto"/>
      </w:divBdr>
    </w:div>
    <w:div w:id="520316453">
      <w:bodyDiv w:val="1"/>
      <w:marLeft w:val="0"/>
      <w:marRight w:val="0"/>
      <w:marTop w:val="0"/>
      <w:marBottom w:val="0"/>
      <w:divBdr>
        <w:top w:val="none" w:sz="0" w:space="0" w:color="auto"/>
        <w:left w:val="none" w:sz="0" w:space="0" w:color="auto"/>
        <w:bottom w:val="none" w:sz="0" w:space="0" w:color="auto"/>
        <w:right w:val="none" w:sz="0" w:space="0" w:color="auto"/>
      </w:divBdr>
    </w:div>
    <w:div w:id="535585711">
      <w:bodyDiv w:val="1"/>
      <w:marLeft w:val="0"/>
      <w:marRight w:val="0"/>
      <w:marTop w:val="0"/>
      <w:marBottom w:val="0"/>
      <w:divBdr>
        <w:top w:val="none" w:sz="0" w:space="0" w:color="auto"/>
        <w:left w:val="none" w:sz="0" w:space="0" w:color="auto"/>
        <w:bottom w:val="none" w:sz="0" w:space="0" w:color="auto"/>
        <w:right w:val="none" w:sz="0" w:space="0" w:color="auto"/>
      </w:divBdr>
    </w:div>
    <w:div w:id="661079523">
      <w:bodyDiv w:val="1"/>
      <w:marLeft w:val="0"/>
      <w:marRight w:val="0"/>
      <w:marTop w:val="0"/>
      <w:marBottom w:val="0"/>
      <w:divBdr>
        <w:top w:val="none" w:sz="0" w:space="0" w:color="auto"/>
        <w:left w:val="none" w:sz="0" w:space="0" w:color="auto"/>
        <w:bottom w:val="none" w:sz="0" w:space="0" w:color="auto"/>
        <w:right w:val="none" w:sz="0" w:space="0" w:color="auto"/>
      </w:divBdr>
      <w:divsChild>
        <w:div w:id="1260600629">
          <w:marLeft w:val="0"/>
          <w:marRight w:val="0"/>
          <w:marTop w:val="0"/>
          <w:marBottom w:val="0"/>
          <w:divBdr>
            <w:top w:val="single" w:sz="6" w:space="8" w:color="B8B8B8"/>
            <w:left w:val="none" w:sz="0" w:space="0" w:color="auto"/>
            <w:bottom w:val="none" w:sz="0" w:space="0" w:color="auto"/>
            <w:right w:val="none" w:sz="0" w:space="0" w:color="auto"/>
          </w:divBdr>
          <w:divsChild>
            <w:div w:id="1074621703">
              <w:marLeft w:val="2"/>
              <w:marRight w:val="2"/>
              <w:marTop w:val="0"/>
              <w:marBottom w:val="0"/>
              <w:divBdr>
                <w:top w:val="single" w:sz="6" w:space="8" w:color="CDCCD4"/>
                <w:left w:val="single" w:sz="6" w:space="8" w:color="CDCCD4"/>
                <w:bottom w:val="single" w:sz="6" w:space="8" w:color="CDCCD4"/>
                <w:right w:val="single" w:sz="6" w:space="4" w:color="CDCCD4"/>
              </w:divBdr>
              <w:divsChild>
                <w:div w:id="1249801549">
                  <w:marLeft w:val="0"/>
                  <w:marRight w:val="0"/>
                  <w:marTop w:val="75"/>
                  <w:marBottom w:val="75"/>
                  <w:divBdr>
                    <w:top w:val="single" w:sz="6" w:space="8" w:color="CCCCD4"/>
                    <w:left w:val="single" w:sz="6" w:space="8" w:color="CCCCD4"/>
                    <w:bottom w:val="single" w:sz="6" w:space="8" w:color="CCCCD4"/>
                    <w:right w:val="single" w:sz="6" w:space="8" w:color="CCCCD4"/>
                  </w:divBdr>
                  <w:divsChild>
                    <w:div w:id="603268334">
                      <w:marLeft w:val="0"/>
                      <w:marRight w:val="0"/>
                      <w:marTop w:val="0"/>
                      <w:marBottom w:val="0"/>
                      <w:divBdr>
                        <w:top w:val="none" w:sz="0" w:space="0" w:color="auto"/>
                        <w:left w:val="none" w:sz="0" w:space="0" w:color="auto"/>
                        <w:bottom w:val="none" w:sz="0" w:space="0" w:color="auto"/>
                        <w:right w:val="none" w:sz="0" w:space="0" w:color="auto"/>
                      </w:divBdr>
                      <w:divsChild>
                        <w:div w:id="82344652">
                          <w:marLeft w:val="0"/>
                          <w:marRight w:val="0"/>
                          <w:marTop w:val="0"/>
                          <w:marBottom w:val="0"/>
                          <w:divBdr>
                            <w:top w:val="none" w:sz="0" w:space="0" w:color="auto"/>
                            <w:left w:val="none" w:sz="0" w:space="0" w:color="auto"/>
                            <w:bottom w:val="none" w:sz="0" w:space="0" w:color="auto"/>
                            <w:right w:val="single" w:sz="6" w:space="0" w:color="CCCCD4"/>
                          </w:divBdr>
                          <w:divsChild>
                            <w:div w:id="618683535">
                              <w:marLeft w:val="0"/>
                              <w:marRight w:val="0"/>
                              <w:marTop w:val="0"/>
                              <w:marBottom w:val="0"/>
                              <w:divBdr>
                                <w:top w:val="none" w:sz="0" w:space="0" w:color="auto"/>
                                <w:left w:val="none" w:sz="0" w:space="0" w:color="auto"/>
                                <w:bottom w:val="none" w:sz="0" w:space="0" w:color="auto"/>
                                <w:right w:val="none" w:sz="0" w:space="0" w:color="auto"/>
                              </w:divBdr>
                              <w:divsChild>
                                <w:div w:id="15034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849651">
      <w:bodyDiv w:val="1"/>
      <w:marLeft w:val="0"/>
      <w:marRight w:val="0"/>
      <w:marTop w:val="0"/>
      <w:marBottom w:val="0"/>
      <w:divBdr>
        <w:top w:val="none" w:sz="0" w:space="0" w:color="auto"/>
        <w:left w:val="none" w:sz="0" w:space="0" w:color="auto"/>
        <w:bottom w:val="none" w:sz="0" w:space="0" w:color="auto"/>
        <w:right w:val="none" w:sz="0" w:space="0" w:color="auto"/>
      </w:divBdr>
      <w:divsChild>
        <w:div w:id="105321491">
          <w:marLeft w:val="0"/>
          <w:marRight w:val="0"/>
          <w:marTop w:val="0"/>
          <w:marBottom w:val="0"/>
          <w:divBdr>
            <w:top w:val="none" w:sz="0" w:space="0" w:color="auto"/>
            <w:left w:val="none" w:sz="0" w:space="0" w:color="auto"/>
            <w:bottom w:val="none" w:sz="0" w:space="0" w:color="auto"/>
            <w:right w:val="none" w:sz="0" w:space="0" w:color="auto"/>
          </w:divBdr>
          <w:divsChild>
            <w:div w:id="1560744181">
              <w:marLeft w:val="0"/>
              <w:marRight w:val="0"/>
              <w:marTop w:val="0"/>
              <w:marBottom w:val="0"/>
              <w:divBdr>
                <w:top w:val="none" w:sz="0" w:space="0" w:color="auto"/>
                <w:left w:val="none" w:sz="0" w:space="0" w:color="auto"/>
                <w:bottom w:val="none" w:sz="0" w:space="0" w:color="auto"/>
                <w:right w:val="none" w:sz="0" w:space="0" w:color="auto"/>
              </w:divBdr>
              <w:divsChild>
                <w:div w:id="3673902">
                  <w:marLeft w:val="15"/>
                  <w:marRight w:val="15"/>
                  <w:marTop w:val="0"/>
                  <w:marBottom w:val="0"/>
                  <w:divBdr>
                    <w:top w:val="none" w:sz="0" w:space="0" w:color="auto"/>
                    <w:left w:val="single" w:sz="6" w:space="0" w:color="DADADA"/>
                    <w:bottom w:val="single" w:sz="6" w:space="11" w:color="DADADA"/>
                    <w:right w:val="single" w:sz="6" w:space="0" w:color="DADADA"/>
                  </w:divBdr>
                  <w:divsChild>
                    <w:div w:id="627127910">
                      <w:marLeft w:val="300"/>
                      <w:marRight w:val="300"/>
                      <w:marTop w:val="300"/>
                      <w:marBottom w:val="0"/>
                      <w:divBdr>
                        <w:top w:val="none" w:sz="0" w:space="0" w:color="auto"/>
                        <w:left w:val="none" w:sz="0" w:space="0" w:color="auto"/>
                        <w:bottom w:val="none" w:sz="0" w:space="0" w:color="auto"/>
                        <w:right w:val="none" w:sz="0" w:space="0" w:color="auto"/>
                      </w:divBdr>
                      <w:divsChild>
                        <w:div w:id="1607617742">
                          <w:marLeft w:val="0"/>
                          <w:marRight w:val="0"/>
                          <w:marTop w:val="0"/>
                          <w:marBottom w:val="15"/>
                          <w:divBdr>
                            <w:top w:val="single" w:sz="6" w:space="12" w:color="C8C8C8"/>
                            <w:left w:val="single" w:sz="6" w:space="15" w:color="C8C8C8"/>
                            <w:bottom w:val="single" w:sz="6" w:space="0" w:color="C8C8C8"/>
                            <w:right w:val="single" w:sz="6" w:space="15" w:color="C8C8C8"/>
                          </w:divBdr>
                          <w:divsChild>
                            <w:div w:id="3663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60583846">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20280867">
      <w:bodyDiv w:val="1"/>
      <w:marLeft w:val="0"/>
      <w:marRight w:val="0"/>
      <w:marTop w:val="0"/>
      <w:marBottom w:val="0"/>
      <w:divBdr>
        <w:top w:val="none" w:sz="0" w:space="0" w:color="auto"/>
        <w:left w:val="none" w:sz="0" w:space="0" w:color="auto"/>
        <w:bottom w:val="none" w:sz="0" w:space="0" w:color="auto"/>
        <w:right w:val="none" w:sz="0" w:space="0" w:color="auto"/>
      </w:divBdr>
    </w:div>
    <w:div w:id="1036009285">
      <w:bodyDiv w:val="1"/>
      <w:marLeft w:val="0"/>
      <w:marRight w:val="0"/>
      <w:marTop w:val="0"/>
      <w:marBottom w:val="0"/>
      <w:divBdr>
        <w:top w:val="none" w:sz="0" w:space="0" w:color="auto"/>
        <w:left w:val="none" w:sz="0" w:space="0" w:color="auto"/>
        <w:bottom w:val="none" w:sz="0" w:space="0" w:color="auto"/>
        <w:right w:val="none" w:sz="0" w:space="0" w:color="auto"/>
      </w:divBdr>
    </w:div>
    <w:div w:id="1045713754">
      <w:bodyDiv w:val="1"/>
      <w:marLeft w:val="0"/>
      <w:marRight w:val="0"/>
      <w:marTop w:val="0"/>
      <w:marBottom w:val="0"/>
      <w:divBdr>
        <w:top w:val="none" w:sz="0" w:space="0" w:color="auto"/>
        <w:left w:val="none" w:sz="0" w:space="0" w:color="auto"/>
        <w:bottom w:val="none" w:sz="0" w:space="0" w:color="auto"/>
        <w:right w:val="none" w:sz="0" w:space="0" w:color="auto"/>
      </w:divBdr>
      <w:divsChild>
        <w:div w:id="1231772640">
          <w:marLeft w:val="0"/>
          <w:marRight w:val="0"/>
          <w:marTop w:val="0"/>
          <w:marBottom w:val="0"/>
          <w:divBdr>
            <w:top w:val="single" w:sz="6" w:space="8" w:color="B8B8B8"/>
            <w:left w:val="none" w:sz="0" w:space="0" w:color="auto"/>
            <w:bottom w:val="none" w:sz="0" w:space="0" w:color="auto"/>
            <w:right w:val="none" w:sz="0" w:space="0" w:color="auto"/>
          </w:divBdr>
          <w:divsChild>
            <w:div w:id="2076197297">
              <w:marLeft w:val="2"/>
              <w:marRight w:val="2"/>
              <w:marTop w:val="0"/>
              <w:marBottom w:val="0"/>
              <w:divBdr>
                <w:top w:val="single" w:sz="6" w:space="8" w:color="CDCCD4"/>
                <w:left w:val="single" w:sz="6" w:space="8" w:color="CDCCD4"/>
                <w:bottom w:val="single" w:sz="6" w:space="8" w:color="CDCCD4"/>
                <w:right w:val="single" w:sz="6" w:space="4" w:color="CDCCD4"/>
              </w:divBdr>
              <w:divsChild>
                <w:div w:id="897131789">
                  <w:marLeft w:val="0"/>
                  <w:marRight w:val="0"/>
                  <w:marTop w:val="75"/>
                  <w:marBottom w:val="75"/>
                  <w:divBdr>
                    <w:top w:val="single" w:sz="6" w:space="8" w:color="CCCCD4"/>
                    <w:left w:val="single" w:sz="6" w:space="8" w:color="CCCCD4"/>
                    <w:bottom w:val="single" w:sz="6" w:space="8" w:color="CCCCD4"/>
                    <w:right w:val="single" w:sz="6" w:space="8" w:color="CCCCD4"/>
                  </w:divBdr>
                  <w:divsChild>
                    <w:div w:id="1433667916">
                      <w:marLeft w:val="0"/>
                      <w:marRight w:val="0"/>
                      <w:marTop w:val="0"/>
                      <w:marBottom w:val="0"/>
                      <w:divBdr>
                        <w:top w:val="none" w:sz="0" w:space="0" w:color="auto"/>
                        <w:left w:val="none" w:sz="0" w:space="0" w:color="auto"/>
                        <w:bottom w:val="none" w:sz="0" w:space="0" w:color="auto"/>
                        <w:right w:val="none" w:sz="0" w:space="0" w:color="auto"/>
                      </w:divBdr>
                      <w:divsChild>
                        <w:div w:id="1977685800">
                          <w:marLeft w:val="0"/>
                          <w:marRight w:val="0"/>
                          <w:marTop w:val="0"/>
                          <w:marBottom w:val="0"/>
                          <w:divBdr>
                            <w:top w:val="none" w:sz="0" w:space="0" w:color="auto"/>
                            <w:left w:val="none" w:sz="0" w:space="0" w:color="auto"/>
                            <w:bottom w:val="none" w:sz="0" w:space="0" w:color="auto"/>
                            <w:right w:val="single" w:sz="6" w:space="0" w:color="CCCCD4"/>
                          </w:divBdr>
                          <w:divsChild>
                            <w:div w:id="760373204">
                              <w:marLeft w:val="0"/>
                              <w:marRight w:val="0"/>
                              <w:marTop w:val="0"/>
                              <w:marBottom w:val="0"/>
                              <w:divBdr>
                                <w:top w:val="none" w:sz="0" w:space="0" w:color="auto"/>
                                <w:left w:val="none" w:sz="0" w:space="0" w:color="auto"/>
                                <w:bottom w:val="none" w:sz="0" w:space="0" w:color="auto"/>
                                <w:right w:val="none" w:sz="0" w:space="0" w:color="auto"/>
                              </w:divBdr>
                              <w:divsChild>
                                <w:div w:id="21179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50228">
      <w:bodyDiv w:val="1"/>
      <w:marLeft w:val="0"/>
      <w:marRight w:val="0"/>
      <w:marTop w:val="0"/>
      <w:marBottom w:val="0"/>
      <w:divBdr>
        <w:top w:val="none" w:sz="0" w:space="0" w:color="auto"/>
        <w:left w:val="none" w:sz="0" w:space="0" w:color="auto"/>
        <w:bottom w:val="none" w:sz="0" w:space="0" w:color="auto"/>
        <w:right w:val="none" w:sz="0" w:space="0" w:color="auto"/>
      </w:divBdr>
    </w:div>
    <w:div w:id="1369141056">
      <w:bodyDiv w:val="1"/>
      <w:marLeft w:val="0"/>
      <w:marRight w:val="0"/>
      <w:marTop w:val="0"/>
      <w:marBottom w:val="0"/>
      <w:divBdr>
        <w:top w:val="none" w:sz="0" w:space="0" w:color="auto"/>
        <w:left w:val="none" w:sz="0" w:space="0" w:color="auto"/>
        <w:bottom w:val="none" w:sz="0" w:space="0" w:color="auto"/>
        <w:right w:val="none" w:sz="0" w:space="0" w:color="auto"/>
      </w:divBdr>
    </w:div>
    <w:div w:id="1561089079">
      <w:bodyDiv w:val="1"/>
      <w:marLeft w:val="0"/>
      <w:marRight w:val="0"/>
      <w:marTop w:val="0"/>
      <w:marBottom w:val="0"/>
      <w:divBdr>
        <w:top w:val="none" w:sz="0" w:space="0" w:color="auto"/>
        <w:left w:val="none" w:sz="0" w:space="0" w:color="auto"/>
        <w:bottom w:val="none" w:sz="0" w:space="0" w:color="auto"/>
        <w:right w:val="none" w:sz="0" w:space="0" w:color="auto"/>
      </w:divBdr>
      <w:divsChild>
        <w:div w:id="30882499">
          <w:marLeft w:val="0"/>
          <w:marRight w:val="0"/>
          <w:marTop w:val="0"/>
          <w:marBottom w:val="0"/>
          <w:divBdr>
            <w:top w:val="single" w:sz="6" w:space="8" w:color="B8B8B8"/>
            <w:left w:val="none" w:sz="0" w:space="0" w:color="auto"/>
            <w:bottom w:val="none" w:sz="0" w:space="0" w:color="auto"/>
            <w:right w:val="none" w:sz="0" w:space="0" w:color="auto"/>
          </w:divBdr>
          <w:divsChild>
            <w:div w:id="1860926025">
              <w:marLeft w:val="2"/>
              <w:marRight w:val="2"/>
              <w:marTop w:val="0"/>
              <w:marBottom w:val="0"/>
              <w:divBdr>
                <w:top w:val="single" w:sz="6" w:space="8" w:color="CDCCD4"/>
                <w:left w:val="single" w:sz="6" w:space="8" w:color="CDCCD4"/>
                <w:bottom w:val="single" w:sz="6" w:space="8" w:color="CDCCD4"/>
                <w:right w:val="single" w:sz="6" w:space="4" w:color="CDCCD4"/>
              </w:divBdr>
              <w:divsChild>
                <w:div w:id="2044863904">
                  <w:marLeft w:val="0"/>
                  <w:marRight w:val="0"/>
                  <w:marTop w:val="75"/>
                  <w:marBottom w:val="75"/>
                  <w:divBdr>
                    <w:top w:val="single" w:sz="6" w:space="8" w:color="CCCCD4"/>
                    <w:left w:val="single" w:sz="6" w:space="8" w:color="CCCCD4"/>
                    <w:bottom w:val="single" w:sz="6" w:space="8" w:color="CCCCD4"/>
                    <w:right w:val="single" w:sz="6" w:space="8" w:color="CCCCD4"/>
                  </w:divBdr>
                  <w:divsChild>
                    <w:div w:id="518082375">
                      <w:marLeft w:val="0"/>
                      <w:marRight w:val="0"/>
                      <w:marTop w:val="0"/>
                      <w:marBottom w:val="0"/>
                      <w:divBdr>
                        <w:top w:val="none" w:sz="0" w:space="0" w:color="auto"/>
                        <w:left w:val="none" w:sz="0" w:space="0" w:color="auto"/>
                        <w:bottom w:val="none" w:sz="0" w:space="0" w:color="auto"/>
                        <w:right w:val="none" w:sz="0" w:space="0" w:color="auto"/>
                      </w:divBdr>
                      <w:divsChild>
                        <w:div w:id="767770496">
                          <w:marLeft w:val="0"/>
                          <w:marRight w:val="0"/>
                          <w:marTop w:val="0"/>
                          <w:marBottom w:val="0"/>
                          <w:divBdr>
                            <w:top w:val="none" w:sz="0" w:space="0" w:color="auto"/>
                            <w:left w:val="none" w:sz="0" w:space="0" w:color="auto"/>
                            <w:bottom w:val="none" w:sz="0" w:space="0" w:color="auto"/>
                            <w:right w:val="single" w:sz="6" w:space="0" w:color="CCCCD4"/>
                          </w:divBdr>
                          <w:divsChild>
                            <w:div w:id="1408724570">
                              <w:marLeft w:val="0"/>
                              <w:marRight w:val="0"/>
                              <w:marTop w:val="0"/>
                              <w:marBottom w:val="0"/>
                              <w:divBdr>
                                <w:top w:val="none" w:sz="0" w:space="0" w:color="auto"/>
                                <w:left w:val="none" w:sz="0" w:space="0" w:color="auto"/>
                                <w:bottom w:val="none" w:sz="0" w:space="0" w:color="auto"/>
                                <w:right w:val="none" w:sz="0" w:space="0" w:color="auto"/>
                              </w:divBdr>
                              <w:divsChild>
                                <w:div w:id="9055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048220">
      <w:bodyDiv w:val="1"/>
      <w:marLeft w:val="0"/>
      <w:marRight w:val="0"/>
      <w:marTop w:val="0"/>
      <w:marBottom w:val="0"/>
      <w:divBdr>
        <w:top w:val="none" w:sz="0" w:space="0" w:color="auto"/>
        <w:left w:val="none" w:sz="0" w:space="0" w:color="auto"/>
        <w:bottom w:val="none" w:sz="0" w:space="0" w:color="auto"/>
        <w:right w:val="none" w:sz="0" w:space="0" w:color="auto"/>
      </w:divBdr>
    </w:div>
    <w:div w:id="2054694377">
      <w:bodyDiv w:val="1"/>
      <w:marLeft w:val="0"/>
      <w:marRight w:val="0"/>
      <w:marTop w:val="0"/>
      <w:marBottom w:val="0"/>
      <w:divBdr>
        <w:top w:val="none" w:sz="0" w:space="0" w:color="auto"/>
        <w:left w:val="none" w:sz="0" w:space="0" w:color="auto"/>
        <w:bottom w:val="none" w:sz="0" w:space="0" w:color="auto"/>
        <w:right w:val="none" w:sz="0" w:space="0" w:color="auto"/>
      </w:divBdr>
    </w:div>
    <w:div w:id="21439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www.aihw.gov.au/reports/child-protection/child-protection-australia-2016-17/contents/table-of-contents-print-report" TargetMode="External"/><Relationship Id="rId18" Type="http://schemas.openxmlformats.org/officeDocument/2006/relationships/hyperlink" Target="https://www.humanrights.gov.au/our-work/childrens-rights/publications/childrens-rights-report-2013" TargetMode="External"/><Relationship Id="rId26" Type="http://schemas.openxmlformats.org/officeDocument/2006/relationships/hyperlink" Target="https://aifs.gov.au/cfca/sites/default/files/cfca41-leaving-care.pdf" TargetMode="External"/><Relationship Id="rId39" Type="http://schemas.openxmlformats.org/officeDocument/2006/relationships/hyperlink" Target="https://www.aihw.gov.au/reports/adoptions/adoptions-australia-2016-17/contents/table-of-content" TargetMode="External"/><Relationship Id="rId21" Type="http://schemas.openxmlformats.org/officeDocument/2006/relationships/hyperlink" Target="https://www.humanrights.gov.au/publications/bringing-them-home-appendix-9-recommendations" TargetMode="External"/><Relationship Id="rId34" Type="http://schemas.openxmlformats.org/officeDocument/2006/relationships/hyperlink" Target="https://www.dss.gov.au/sites/default/files/documents/child_protection_framework.pdf" TargetMode="External"/><Relationship Id="rId42" Type="http://schemas.openxmlformats.org/officeDocument/2006/relationships/hyperlink" Target="http://www.abc.net.au/cm/lb/5094252/data/community-disc-paper-data.pdf" TargetMode="External"/><Relationship Id="rId47" Type="http://schemas.openxmlformats.org/officeDocument/2006/relationships/hyperlink" Target="https://www.aph.gov.au/Parliamentary_Business/Committees/Senate/Community_Affairs/Completed_inquiries/1999-02/child_migrat/report/index" TargetMode="External"/><Relationship Id="rId50" Type="http://schemas.openxmlformats.org/officeDocument/2006/relationships/hyperlink" Target="https://www.australia.gov.au/about-australia/our-country/our-people/apology-to-australias-indigenous-peoples" TargetMode="External"/><Relationship Id="rId55" Type="http://schemas.openxmlformats.org/officeDocument/2006/relationships/hyperlink" Target="https://www.humanrights.gov.au/publications/bringing-them-home-chapter-22" TargetMode="External"/><Relationship Id="rId63" Type="http://schemas.openxmlformats.org/officeDocument/2006/relationships/hyperlink" Target="http://www.snaicc.org.au/wp-content/uploads/2017/07/Understanding_applying_ATSICCP.pdf" TargetMode="External"/><Relationship Id="rId68" Type="http://schemas.openxmlformats.org/officeDocument/2006/relationships/hyperlink" Target="https://aifs.gov.au/cfca/publications/enhancing-implementation-aboriginal-and-torres-strait-islander-child/strategies" TargetMode="External"/><Relationship Id="rId76" Type="http://schemas.openxmlformats.org/officeDocument/2006/relationships/hyperlink" Target="https://www.humanrights.gov.au/publications/bringing-them-home-appendix-9-recommendations" TargetMode="External"/><Relationship Id="rId7" Type="http://schemas.openxmlformats.org/officeDocument/2006/relationships/hyperlink" Target="http://tbinternet.ohchr.org/_layouts/treatybodyexternal/Download.aspx?symbolno=CRC/AUS/5-6&amp;Lang=en" TargetMode="External"/><Relationship Id="rId71" Type="http://schemas.openxmlformats.org/officeDocument/2006/relationships/hyperlink" Target="https://www.agd.sa.gov.au/projects-and-consultations/projects-archive/child-protection-systems-royal-commission" TargetMode="External"/><Relationship Id="rId2" Type="http://schemas.openxmlformats.org/officeDocument/2006/relationships/hyperlink" Target="https://www.aph.gov.au/Parliamentary_Business/Committees/House/Social_Policy_and_Legal_Affairs/Localadoption/Terms_of_Reference" TargetMode="External"/><Relationship Id="rId16" Type="http://schemas.openxmlformats.org/officeDocument/2006/relationships/hyperlink" Target="https://www.aihw.gov.au/reports/child-protection/child-protection-australia-2016-17/contents/table-of-contents-print-report" TargetMode="External"/><Relationship Id="rId29" Type="http://schemas.openxmlformats.org/officeDocument/2006/relationships/hyperlink" Target="http://www.snaicc.org.au/wp-content/uploads/2015/12/01800.pdf" TargetMode="External"/><Relationship Id="rId11" Type="http://schemas.openxmlformats.org/officeDocument/2006/relationships/hyperlink" Target="http://tbinternet.ohchr.org/_layouts/treatybodyexternal/Download.aspx?symbolno=CRC/AUS/5-6&amp;Lang=en" TargetMode="External"/><Relationship Id="rId24" Type="http://schemas.openxmlformats.org/officeDocument/2006/relationships/hyperlink" Target="http://sydney.edu.au/education_social_work/research/centres_and_networks/IOAS/resources/Publications/shape-better.pdf" TargetMode="External"/><Relationship Id="rId32" Type="http://schemas.openxmlformats.org/officeDocument/2006/relationships/hyperlink" Target="https://aifs.gov.au/cfca/sites/default/files/cfca41-leaving-care.pdf" TargetMode="External"/><Relationship Id="rId37" Type="http://schemas.openxmlformats.org/officeDocument/2006/relationships/hyperlink" Target="https://www.aihw.gov.au/reports/adoptions/adoptions-australia-2016-17/contents/table-of-content" TargetMode="External"/><Relationship Id="rId40" Type="http://schemas.openxmlformats.org/officeDocument/2006/relationships/hyperlink" Target="https://www.aihw.gov.au/reports/adoptions/adoptions-australia-2016-17/contents/table-of-content" TargetMode="External"/><Relationship Id="rId45" Type="http://schemas.openxmlformats.org/officeDocument/2006/relationships/hyperlink" Target="https://www.facs.nsw.gov.au/families/permanency-support-program/paths" TargetMode="External"/><Relationship Id="rId53" Type="http://schemas.openxmlformats.org/officeDocument/2006/relationships/hyperlink" Target="https://www.aihw.gov.au/reports/adoptions/adoptions-australia-2016-17/contents/table-of-content" TargetMode="External"/><Relationship Id="rId58" Type="http://schemas.openxmlformats.org/officeDocument/2006/relationships/hyperlink" Target="https://www.alrc.gov.au/publications/report-31" TargetMode="External"/><Relationship Id="rId66" Type="http://schemas.openxmlformats.org/officeDocument/2006/relationships/hyperlink" Target="http://lawreform.vic.gov.au/sites/default/files/VLRC_Adoption_Report_forweb.pdf" TargetMode="External"/><Relationship Id="rId74" Type="http://schemas.openxmlformats.org/officeDocument/2006/relationships/hyperlink" Target="https://www.humanrights.gov.au/publications/bringing-them-home-appendix-9-recommendations" TargetMode="External"/><Relationship Id="rId79" Type="http://schemas.openxmlformats.org/officeDocument/2006/relationships/hyperlink" Target="http://lawreform.vic.gov.au/sites/default/files/VLRC_Adoption_Act_Consultation_Paper-Web_final.pdf" TargetMode="External"/><Relationship Id="rId5" Type="http://schemas.openxmlformats.org/officeDocument/2006/relationships/hyperlink" Target="http://tbinternet.ohchr.org/_layouts/treatybodyexternal/Download.aspx?symbolno=CRC/AUS/5-6&amp;Lang=en" TargetMode="External"/><Relationship Id="rId61" Type="http://schemas.openxmlformats.org/officeDocument/2006/relationships/hyperlink" Target="https://www.humanrights.gov.au/sites/default/files/document/publication/SJRNTR2015.pdf" TargetMode="External"/><Relationship Id="rId82" Type="http://schemas.openxmlformats.org/officeDocument/2006/relationships/hyperlink" Target="https://www.dss.gov.au/sites/default/files/documents/pac_national_standard.pdf" TargetMode="External"/><Relationship Id="rId10" Type="http://schemas.openxmlformats.org/officeDocument/2006/relationships/hyperlink" Target="http://tbinternet.ohchr.org/_layouts/treatybodyexternal/Download.aspx?symbolno=INT/CRC/ADR/AUS/29898&amp;Lang=en" TargetMode="External"/><Relationship Id="rId19" Type="http://schemas.openxmlformats.org/officeDocument/2006/relationships/hyperlink" Target="https://www.humanrights.gov.au/our-work/childrens-rights/publications/childrens-rights-report-2013" TargetMode="External"/><Relationship Id="rId31" Type="http://schemas.openxmlformats.org/officeDocument/2006/relationships/hyperlink" Target="https://aifs.gov.au/cfca/sites/default/files/cfca41-leaving-care.pdf" TargetMode="External"/><Relationship Id="rId44" Type="http://schemas.openxmlformats.org/officeDocument/2006/relationships/hyperlink" Target="https://www.facs.nsw.gov.au/families/permanency-support-program" TargetMode="External"/><Relationship Id="rId52" Type="http://schemas.openxmlformats.org/officeDocument/2006/relationships/hyperlink" Target="https://www.ag.gov.au/About/ForcedAdoptionsApology/Pages/default.aspx" TargetMode="External"/><Relationship Id="rId60" Type="http://schemas.openxmlformats.org/officeDocument/2006/relationships/hyperlink" Target="https://www.telethonkids.org.au/globalassets/media/documents/aboriginal-health/measuring_social_and_emotional_wellbeing.pdf" TargetMode="External"/><Relationship Id="rId65" Type="http://schemas.openxmlformats.org/officeDocument/2006/relationships/hyperlink" Target="http://www.austlii.edu.au/au/journals/ILB/2015/17.pdf" TargetMode="External"/><Relationship Id="rId73" Type="http://schemas.openxmlformats.org/officeDocument/2006/relationships/hyperlink" Target="https://www.humanrights.gov.au/publications/bringing-them-home-appendix-9-recommendations" TargetMode="External"/><Relationship Id="rId78" Type="http://schemas.openxmlformats.org/officeDocument/2006/relationships/hyperlink" Target="http://lawreform.vic.gov.au/sites/default/files/VLRC_Adoption_Act_Consultation_Paper-Web_final.pdf" TargetMode="External"/><Relationship Id="rId81" Type="http://schemas.openxmlformats.org/officeDocument/2006/relationships/hyperlink" Target="http://lawreform.vic.gov.au/sites/default/files/VLRC_Adoption_Act_Consultation_Paper-Web_final.pdf" TargetMode="External"/><Relationship Id="rId4" Type="http://schemas.openxmlformats.org/officeDocument/2006/relationships/hyperlink" Target="https://www.aihw.gov.au/reports/adoptions/adoptions-australia-2016-17/contents/table-of-content" TargetMode="External"/><Relationship Id="rId9" Type="http://schemas.openxmlformats.org/officeDocument/2006/relationships/hyperlink" Target="http://tbinternet.ohchr.org/_layouts/treatybodyexternal/Download.aspx?symbolno=CRC/AUS/5-6&amp;Lang=en" TargetMode="External"/><Relationship Id="rId14" Type="http://schemas.openxmlformats.org/officeDocument/2006/relationships/hyperlink" Target="https://www.aihw.gov.au/reports/child-protection/child-protection-australia-2016-17/contents/table-of-contents-print-report" TargetMode="External"/><Relationship Id="rId22" Type="http://schemas.openxmlformats.org/officeDocument/2006/relationships/hyperlink" Target="http://www.humanrights.gov.au/sites/default/files/PRC-Bryan%20Samuels%20Australian%20Presentation%20External.pdf?_ga=2.155297724.644736709.1527483423-1633014347.1519859779" TargetMode="External"/><Relationship Id="rId27" Type="http://schemas.openxmlformats.org/officeDocument/2006/relationships/hyperlink" Target="https://aifs.gov.au/cfca/publications/childrens-attachment-needs-context-out-home-care" TargetMode="External"/><Relationship Id="rId30" Type="http://schemas.openxmlformats.org/officeDocument/2006/relationships/hyperlink" Target="https://aifs.gov.au/cfca/sites/default/files/cfca41-leaving-care.pdf" TargetMode="External"/><Relationship Id="rId35" Type="http://schemas.openxmlformats.org/officeDocument/2006/relationships/hyperlink" Target="https://www.dss.gov.au/sites/default/files/documents/pac_national_standard.pdf" TargetMode="External"/><Relationship Id="rId43" Type="http://schemas.openxmlformats.org/officeDocument/2006/relationships/hyperlink" Target="https://www.facs.nsw.gov.au/__data/assets/pdf_file/0009/441495/FACS-Discussion-Paper-Shaping-a-Better-Child-Protection-System.PDF" TargetMode="External"/><Relationship Id="rId48" Type="http://schemas.openxmlformats.org/officeDocument/2006/relationships/hyperlink" Target="https://www.aph.gov.au/Parliamentary_Business/Committees/Senate/Community_Affairs/Completed_inquiries/2004-07/inst_care/report/index" TargetMode="External"/><Relationship Id="rId56" Type="http://schemas.openxmlformats.org/officeDocument/2006/relationships/hyperlink" Target="https://www.alrc.gov.au/publications/report-31" TargetMode="External"/><Relationship Id="rId64" Type="http://schemas.openxmlformats.org/officeDocument/2006/relationships/hyperlink" Target="https://aifs.gov.au/cfca/publications/enhancing-implementation-aboriginal-and-torres-strait-islander-child/measuring" TargetMode="External"/><Relationship Id="rId69" Type="http://schemas.openxmlformats.org/officeDocument/2006/relationships/hyperlink" Target="https://www.humanrights.gov.au/publications/bringing-them-home-chapter-22" TargetMode="External"/><Relationship Id="rId77" Type="http://schemas.openxmlformats.org/officeDocument/2006/relationships/hyperlink" Target="http://lawreform.vic.gov.au/sites/default/files/VLRC_Adoption_Act_Consultation_Paper-Web_final.pdf" TargetMode="External"/><Relationship Id="rId8" Type="http://schemas.openxmlformats.org/officeDocument/2006/relationships/hyperlink" Target="http://tbinternet.ohchr.org/_layouts/treatybodyexternal/Download.aspx?symbolno=INT/CRC/ADR/AUS/29898&amp;Lang=en" TargetMode="External"/><Relationship Id="rId51" Type="http://schemas.openxmlformats.org/officeDocument/2006/relationships/hyperlink" Target="http://pandora.nla.gov.au/pan/110625/20091116-1801/www.pm.gov.au/node/6321.html" TargetMode="External"/><Relationship Id="rId72" Type="http://schemas.openxmlformats.org/officeDocument/2006/relationships/hyperlink" Target="https://www.humanrights.gov.au/publications/bringing-them-home-appendix-9-recommendations" TargetMode="External"/><Relationship Id="rId80" Type="http://schemas.openxmlformats.org/officeDocument/2006/relationships/hyperlink" Target="http://lawreform.vic.gov.au/sites/default/files/VLRC_Adoption_Act_Consultation_Paper-Web_final.pdf" TargetMode="External"/><Relationship Id="rId3" Type="http://schemas.openxmlformats.org/officeDocument/2006/relationships/hyperlink" Target="https://www.aihw.gov.au/reports/adoptions/adoptions-australia-2016-17/contents/table-of-content" TargetMode="External"/><Relationship Id="rId12" Type="http://schemas.openxmlformats.org/officeDocument/2006/relationships/hyperlink" Target="http://tbinternet.ohchr.org/_layouts/treatybodyexternal/Download.aspx?symbolno=INT/CRC/ADR/AUS/29898&amp;Lang=en" TargetMode="External"/><Relationship Id="rId17" Type="http://schemas.openxmlformats.org/officeDocument/2006/relationships/hyperlink" Target="https://www.aihw.gov.au/reports/child-protection/child-protection-australia-2016-17/contents/table-of-contents-print-report" TargetMode="External"/><Relationship Id="rId25" Type="http://schemas.openxmlformats.org/officeDocument/2006/relationships/hyperlink" Target="https://aifs.gov.au/cfca/sites/default/files/cfca41-leaving-care.pdf" TargetMode="External"/><Relationship Id="rId33" Type="http://schemas.openxmlformats.org/officeDocument/2006/relationships/hyperlink" Target="https://www.dss.gov.au/sites/default/files/documents/child_protection_framework.pdf" TargetMode="External"/><Relationship Id="rId38" Type="http://schemas.openxmlformats.org/officeDocument/2006/relationships/hyperlink" Target="https://www.aihw.gov.au/reports/adoptions/adoptions-australia-2016-17/contents/table-of-content" TargetMode="External"/><Relationship Id="rId46" Type="http://schemas.openxmlformats.org/officeDocument/2006/relationships/hyperlink" Target="https://www.humanrights.gov.au/publications/bringing-them-home-report-1997" TargetMode="External"/><Relationship Id="rId59" Type="http://schemas.openxmlformats.org/officeDocument/2006/relationships/hyperlink" Target="https://www.researchgate.net/publication/239921354_Cultural_Continuity_as_a_Protective_Factor_Against_Suicide_in_First_Nations_Youth" TargetMode="External"/><Relationship Id="rId67" Type="http://schemas.openxmlformats.org/officeDocument/2006/relationships/hyperlink" Target="https://www.aihw.gov.au/getmedia/bce377ec-1b76-4cc5-87d9-d0541fca586c/20479.pdf.aspx?inline=true" TargetMode="External"/><Relationship Id="rId20" Type="http://schemas.openxmlformats.org/officeDocument/2006/relationships/hyperlink" Target="https://www.dss.gov.au/our-responsibilities/families-and-children/publications-articles/protecting-children-is-everyones-business" TargetMode="External"/><Relationship Id="rId41" Type="http://schemas.openxmlformats.org/officeDocument/2006/relationships/hyperlink" Target="https://assets.publishing.service.gov.uk/government/uploads/system/uploads/attachment_data/file/301889/Final_Report_-_3rd_April_2014v2.pdf" TargetMode="External"/><Relationship Id="rId54" Type="http://schemas.openxmlformats.org/officeDocument/2006/relationships/hyperlink" Target="https://www.humanrights.gov.au/sites/default/files/content/pdf/social_justice/bringing_them_home_report.pdf" TargetMode="External"/><Relationship Id="rId62" Type="http://schemas.openxmlformats.org/officeDocument/2006/relationships/hyperlink" Target="http://arizona.openrepository.com/arizona/handle/10150/228498" TargetMode="External"/><Relationship Id="rId70" Type="http://schemas.openxmlformats.org/officeDocument/2006/relationships/hyperlink" Target="https://www.absec.org.au/images/downloads/Guardianship-Orders-Position-Paper-November-2015.pdf" TargetMode="External"/><Relationship Id="rId75" Type="http://schemas.openxmlformats.org/officeDocument/2006/relationships/hyperlink" Target="https://www.humanrights.gov.au/publications/bringing-them-home-appendix-9-recommendations" TargetMode="External"/><Relationship Id="rId83" Type="http://schemas.openxmlformats.org/officeDocument/2006/relationships/hyperlink" Target="https://www.dss.gov.au/sites/default/files/documents/pac_national_standard.pdf" TargetMode="External"/><Relationship Id="rId1" Type="http://schemas.openxmlformats.org/officeDocument/2006/relationships/hyperlink" Target="http://www.ohchr.org/EN/ProfessionalInterest/Pages/StatusOfNationalInstitutions.aspx" TargetMode="External"/><Relationship Id="rId6" Type="http://schemas.openxmlformats.org/officeDocument/2006/relationships/hyperlink" Target="http://tbinternet.ohchr.org/_layouts/treatybodyexternal/Download.aspx?symbolno=INT/CRC/ADR/AUS/29898&amp;Lang=en" TargetMode="External"/><Relationship Id="rId15" Type="http://schemas.openxmlformats.org/officeDocument/2006/relationships/hyperlink" Target="https://www.aihw.gov.au/reports/child-protection/child-protection-australia-2016-17/contents/table-of-contents-print-report" TargetMode="External"/><Relationship Id="rId23" Type="http://schemas.openxmlformats.org/officeDocument/2006/relationships/hyperlink" Target="http://www.humanrights.gov.au/sites/default/files/PRC-Bryan%20Samuels%20Australian%20Presentation%20External.pdf?_ga=2.155297724.644736709.1527483423-1633014347.1519859779" TargetMode="External"/><Relationship Id="rId28" Type="http://schemas.openxmlformats.org/officeDocument/2006/relationships/hyperlink" Target="https://aifs.gov.au/cfca/publications/getting-big-picture-synopsis-and-critique-austra" TargetMode="External"/><Relationship Id="rId36" Type="http://schemas.openxmlformats.org/officeDocument/2006/relationships/hyperlink" Target="https://www.aihw.gov.au/reports/adoptions/adoptions-australia-2016-17/contents/table-of-content" TargetMode="External"/><Relationship Id="rId49" Type="http://schemas.openxmlformats.org/officeDocument/2006/relationships/hyperlink" Target="https://www.aph.gov.au/Parliamentary_Business/Committees/Senate/Community_Affairs/Completed_inquiries/2010-13/commcontribformerforcedadoption/report/index" TargetMode="External"/><Relationship Id="rId57" Type="http://schemas.openxmlformats.org/officeDocument/2006/relationships/hyperlink" Target="http://lawreform.vic.gov.au/sites/default/files/VLRC_Adoption_Report_for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18F2-1589-48F5-99C8-30491BEB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Template>
  <TotalTime>0</TotalTime>
  <Pages>33</Pages>
  <Words>9801</Words>
  <Characters>55040</Characters>
  <Application>Microsoft Office Word</Application>
  <DocSecurity>4</DocSecurity>
  <Lines>458</Lines>
  <Paragraphs>129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64712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Meagan Lee</dc:creator>
  <cp:keywords/>
  <cp:lastModifiedBy>Catherine Maywald</cp:lastModifiedBy>
  <cp:revision>2</cp:revision>
  <cp:lastPrinted>2018-06-06T01:43:00Z</cp:lastPrinted>
  <dcterms:created xsi:type="dcterms:W3CDTF">2018-06-11T23:57:00Z</dcterms:created>
  <dcterms:modified xsi:type="dcterms:W3CDTF">2018-06-11T23:57:00Z</dcterms:modified>
</cp:coreProperties>
</file>