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15" w:rsidRDefault="002B5215" w:rsidP="00642B6F">
      <w:pPr>
        <w:spacing w:after="60"/>
        <w:jc w:val="center"/>
        <w:outlineLvl w:val="0"/>
        <w:rPr>
          <w:rFonts w:cs="Arial"/>
          <w:b/>
          <w:bCs/>
          <w:kern w:val="28"/>
          <w:sz w:val="32"/>
          <w:szCs w:val="32"/>
        </w:rPr>
      </w:pPr>
    </w:p>
    <w:p w:rsidR="00642B6F" w:rsidRPr="00D54AF1" w:rsidRDefault="00900858" w:rsidP="00642B6F">
      <w:pPr>
        <w:spacing w:after="60"/>
        <w:jc w:val="center"/>
        <w:outlineLvl w:val="0"/>
        <w:rPr>
          <w:rFonts w:cs="Arial"/>
          <w:b/>
          <w:bCs/>
          <w:color w:val="1F497D" w:themeColor="text2"/>
          <w:kern w:val="28"/>
          <w:sz w:val="36"/>
          <w:szCs w:val="32"/>
        </w:rPr>
      </w:pPr>
      <w:r w:rsidRPr="00D54AF1">
        <w:rPr>
          <w:rFonts w:cs="Arial"/>
          <w:b/>
          <w:bCs/>
          <w:color w:val="1F497D" w:themeColor="text2"/>
          <w:kern w:val="28"/>
          <w:sz w:val="36"/>
          <w:szCs w:val="32"/>
        </w:rPr>
        <w:t xml:space="preserve">Factsheet: </w:t>
      </w:r>
      <w:r w:rsidR="00642B6F" w:rsidRPr="00D54AF1">
        <w:rPr>
          <w:rFonts w:cs="Arial"/>
          <w:b/>
          <w:bCs/>
          <w:color w:val="1F497D" w:themeColor="text2"/>
          <w:kern w:val="28"/>
          <w:sz w:val="36"/>
          <w:szCs w:val="32"/>
        </w:rPr>
        <w:t>Mental health</w:t>
      </w:r>
    </w:p>
    <w:p w:rsidR="00642B6F" w:rsidRPr="00D54AF1" w:rsidRDefault="00642B6F" w:rsidP="00642B6F">
      <w:pPr>
        <w:rPr>
          <w:b/>
          <w:color w:val="1F497D" w:themeColor="text2"/>
          <w:sz w:val="28"/>
        </w:rPr>
      </w:pPr>
      <w:r w:rsidRPr="00D54AF1">
        <w:rPr>
          <w:b/>
          <w:color w:val="1F497D" w:themeColor="text2"/>
          <w:sz w:val="28"/>
        </w:rPr>
        <w:t>Background Information</w:t>
      </w:r>
    </w:p>
    <w:p w:rsidR="00395190" w:rsidRDefault="00F400E8" w:rsidP="00AD2FCB">
      <w:pPr>
        <w:rPr>
          <w:rFonts w:eastAsia="MS Mincho"/>
        </w:rPr>
      </w:pPr>
      <w:r>
        <w:rPr>
          <w:rFonts w:eastAsia="MS Mincho"/>
        </w:rPr>
        <w:t xml:space="preserve">An estimated 3.6 million Australians aged 16-85 </w:t>
      </w:r>
      <w:r w:rsidR="00212178">
        <w:rPr>
          <w:rFonts w:eastAsia="MS Mincho"/>
        </w:rPr>
        <w:t>experience</w:t>
      </w:r>
      <w:r>
        <w:rPr>
          <w:rFonts w:eastAsia="MS Mincho"/>
        </w:rPr>
        <w:t xml:space="preserve"> mental ill health every year.</w:t>
      </w:r>
      <w:r w:rsidR="00395190">
        <w:rPr>
          <w:rStyle w:val="EndnoteReference"/>
          <w:rFonts w:eastAsia="MS Mincho"/>
        </w:rPr>
        <w:endnoteReference w:id="1"/>
      </w:r>
    </w:p>
    <w:p w:rsidR="00395190" w:rsidRDefault="00395190" w:rsidP="00642B6F">
      <w:pPr>
        <w:rPr>
          <w:rFonts w:eastAsia="MS Mincho"/>
        </w:rPr>
      </w:pPr>
      <w:r w:rsidRPr="00642B6F">
        <w:rPr>
          <w:rFonts w:eastAsia="MS Mincho"/>
        </w:rPr>
        <w:t>The Commission</w:t>
      </w:r>
      <w:r w:rsidR="008E1133">
        <w:rPr>
          <w:rFonts w:eastAsia="MS Mincho"/>
        </w:rPr>
        <w:t xml:space="preserve"> has</w:t>
      </w:r>
      <w:r w:rsidRPr="00642B6F">
        <w:rPr>
          <w:rFonts w:eastAsia="MS Mincho"/>
        </w:rPr>
        <w:t xml:space="preserve"> </w:t>
      </w:r>
      <w:r>
        <w:rPr>
          <w:rFonts w:eastAsia="MS Mincho"/>
        </w:rPr>
        <w:t>welcomed the</w:t>
      </w:r>
      <w:r w:rsidRPr="00642B6F">
        <w:rPr>
          <w:rFonts w:eastAsia="MS Mincho"/>
        </w:rPr>
        <w:t xml:space="preserve"> establishment of the National Mental Health Commission (NHMC)</w:t>
      </w:r>
      <w:r>
        <w:rPr>
          <w:rFonts w:eastAsia="MS Mincho"/>
        </w:rPr>
        <w:t xml:space="preserve"> in 2012</w:t>
      </w:r>
      <w:r w:rsidRPr="00642B6F">
        <w:rPr>
          <w:rFonts w:eastAsia="MS Mincho"/>
        </w:rPr>
        <w:t>.</w:t>
      </w:r>
      <w:r>
        <w:rPr>
          <w:rFonts w:eastAsia="MS Mincho"/>
        </w:rPr>
        <w:t xml:space="preserve"> The NHMC </w:t>
      </w:r>
      <w:r w:rsidR="008E1133">
        <w:rPr>
          <w:rFonts w:eastAsia="MS Mincho"/>
        </w:rPr>
        <w:t>advises</w:t>
      </w:r>
      <w:r>
        <w:rPr>
          <w:rFonts w:eastAsia="MS Mincho"/>
        </w:rPr>
        <w:t xml:space="preserve"> government and the community on the effectiveness of mental health programmes and services.</w:t>
      </w:r>
    </w:p>
    <w:p w:rsidR="00395190" w:rsidRPr="00D54AF1" w:rsidRDefault="00395190" w:rsidP="00642B6F">
      <w:pPr>
        <w:rPr>
          <w:b/>
          <w:color w:val="1F497D" w:themeColor="text2"/>
          <w:sz w:val="28"/>
        </w:rPr>
      </w:pPr>
      <w:r w:rsidRPr="00D54AF1">
        <w:rPr>
          <w:b/>
          <w:color w:val="1F497D" w:themeColor="text2"/>
          <w:sz w:val="28"/>
        </w:rPr>
        <w:t>Key Issue</w:t>
      </w:r>
      <w:r w:rsidR="00C46E06" w:rsidRPr="00D54AF1">
        <w:rPr>
          <w:b/>
          <w:color w:val="1F497D" w:themeColor="text2"/>
          <w:sz w:val="28"/>
        </w:rPr>
        <w:t xml:space="preserve"> – </w:t>
      </w:r>
      <w:r w:rsidR="002B5215" w:rsidRPr="00D54AF1">
        <w:rPr>
          <w:b/>
          <w:color w:val="1F497D" w:themeColor="text2"/>
          <w:sz w:val="28"/>
        </w:rPr>
        <w:t>M</w:t>
      </w:r>
      <w:r w:rsidR="00C46E06" w:rsidRPr="00D54AF1">
        <w:rPr>
          <w:b/>
          <w:color w:val="1F497D" w:themeColor="text2"/>
          <w:sz w:val="28"/>
        </w:rPr>
        <w:t>ental health services</w:t>
      </w:r>
      <w:r w:rsidR="002B5215" w:rsidRPr="00D54AF1">
        <w:rPr>
          <w:b/>
          <w:color w:val="1F497D" w:themeColor="text2"/>
          <w:sz w:val="28"/>
        </w:rPr>
        <w:t xml:space="preserve"> for vulnerable groups</w:t>
      </w:r>
    </w:p>
    <w:p w:rsidR="00395190" w:rsidRPr="00D1003E" w:rsidRDefault="00395190" w:rsidP="001E2CB7">
      <w:pPr>
        <w:rPr>
          <w:rFonts w:eastAsia="MS Mincho"/>
        </w:rPr>
      </w:pPr>
      <w:r>
        <w:rPr>
          <w:rFonts w:eastAsia="MS Mincho"/>
        </w:rPr>
        <w:t xml:space="preserve">There remain </w:t>
      </w:r>
      <w:r w:rsidRPr="00D1003E">
        <w:rPr>
          <w:rFonts w:eastAsia="MS Mincho"/>
        </w:rPr>
        <w:t>inadequate support services for severely mentally ill people.</w:t>
      </w:r>
      <w:r w:rsidR="003C5A9A">
        <w:rPr>
          <w:rFonts w:eastAsia="MS Mincho"/>
        </w:rPr>
        <w:t xml:space="preserve"> </w:t>
      </w:r>
      <w:r w:rsidRPr="00D1003E">
        <w:rPr>
          <w:rFonts w:eastAsia="MS Mincho"/>
        </w:rPr>
        <w:t>The needs of Aboriginal and Torres Strait Islander peoples remain unmet. In the period 2008-2012 the rate of deaths from suicide for Aboriginal and Torres Strait Islander peoples was almost double the rate for the rest of the population.</w:t>
      </w:r>
      <w:r w:rsidRPr="00D1003E">
        <w:rPr>
          <w:rStyle w:val="EndnoteReference"/>
          <w:rFonts w:eastAsia="MS Mincho"/>
        </w:rPr>
        <w:endnoteReference w:id="2"/>
      </w:r>
      <w:r w:rsidR="003C5A9A">
        <w:rPr>
          <w:rFonts w:eastAsia="MS Mincho"/>
        </w:rPr>
        <w:t xml:space="preserve"> </w:t>
      </w:r>
      <w:r w:rsidRPr="00D1003E">
        <w:rPr>
          <w:rFonts w:eastAsia="MS Mincho"/>
        </w:rPr>
        <w:t>Seclusion and restraint practices continue to be used against people with mental illness.</w:t>
      </w:r>
    </w:p>
    <w:p w:rsidR="00395190" w:rsidRDefault="00395190" w:rsidP="00F733F4">
      <w:r w:rsidRPr="00D1003E">
        <w:t>There remains a need to</w:t>
      </w:r>
      <w:r w:rsidR="00860D73">
        <w:t xml:space="preserve"> improve and adequately</w:t>
      </w:r>
      <w:r w:rsidRPr="00D1003E">
        <w:t xml:space="preserve"> fund</w:t>
      </w:r>
      <w:r>
        <w:t xml:space="preserve"> services </w:t>
      </w:r>
      <w:r w:rsidR="00860D73">
        <w:t>to</w:t>
      </w:r>
      <w:r>
        <w:t xml:space="preserve"> address these concerns. Many existing mental health service providers that rely on government for continued funding and have experienced significant funding uncertainty. </w:t>
      </w:r>
    </w:p>
    <w:p w:rsidR="00395190" w:rsidRDefault="00395190" w:rsidP="00F733F4">
      <w:r>
        <w:t>In 2014 the NMHC completed a national review of mental health programmes and services. The review found fundamental structural shortcomings in the current system and made 25 recommendations to guide reform over the next decade.</w:t>
      </w:r>
      <w:r w:rsidRPr="00FB4DD0">
        <w:rPr>
          <w:rStyle w:val="EndnoteReference"/>
        </w:rPr>
        <w:t xml:space="preserve"> </w:t>
      </w:r>
      <w:r>
        <w:rPr>
          <w:rStyle w:val="EndnoteReference"/>
        </w:rPr>
        <w:endnoteReference w:id="3"/>
      </w:r>
    </w:p>
    <w:p w:rsidR="00570181" w:rsidRDefault="00570181" w:rsidP="00942DCD">
      <w:r>
        <w:t>The NMHC review also highlighted th</w:t>
      </w:r>
      <w:r w:rsidRPr="00570181">
        <w:t xml:space="preserve">e absence of inclusion of </w:t>
      </w:r>
      <w:r w:rsidR="002B5215">
        <w:t xml:space="preserve">mental health programs and supports for </w:t>
      </w:r>
      <w:r w:rsidRPr="00570181">
        <w:t>L</w:t>
      </w:r>
      <w:r>
        <w:t>esbian, Gay, Bisexual, Trans and Intersex (L</w:t>
      </w:r>
      <w:r w:rsidRPr="00570181">
        <w:t>GBTI</w:t>
      </w:r>
      <w:r>
        <w:t>)</w:t>
      </w:r>
      <w:r w:rsidRPr="00570181">
        <w:t xml:space="preserve"> people</w:t>
      </w:r>
      <w:r w:rsidR="00057C71">
        <w:t>.</w:t>
      </w:r>
      <w:r w:rsidR="00057C71">
        <w:rPr>
          <w:rStyle w:val="EndnoteReference"/>
        </w:rPr>
        <w:endnoteReference w:id="4"/>
      </w:r>
      <w:r w:rsidRPr="00570181">
        <w:t xml:space="preserve"> The report also included a recommendation that relevant contracts for service providers require expertise and cultural sensitivity for LGBTI people.</w:t>
      </w:r>
      <w:r w:rsidR="002B5215">
        <w:rPr>
          <w:rStyle w:val="EndnoteReference"/>
        </w:rPr>
        <w:endnoteReference w:id="5"/>
      </w:r>
    </w:p>
    <w:p w:rsidR="00570181" w:rsidRDefault="00570181" w:rsidP="00570181">
      <w:r>
        <w:rPr>
          <w:rFonts w:eastAsia="MS Mincho"/>
        </w:rPr>
        <w:t>S</w:t>
      </w:r>
      <w:r w:rsidRPr="006C6BF1">
        <w:rPr>
          <w:rFonts w:eastAsia="MS Mincho"/>
        </w:rPr>
        <w:t>elf-harm among children</w:t>
      </w:r>
      <w:r>
        <w:rPr>
          <w:rFonts w:eastAsia="MS Mincho"/>
        </w:rPr>
        <w:t xml:space="preserve"> is an area of key concern. In Australia intentional self-harm is the leading cause of death among children and young people aged 15-24 years.</w:t>
      </w:r>
      <w:r>
        <w:rPr>
          <w:rStyle w:val="EndnoteReference"/>
          <w:rFonts w:eastAsia="MS Mincho"/>
        </w:rPr>
        <w:endnoteReference w:id="6"/>
      </w:r>
      <w:r>
        <w:rPr>
          <w:rFonts w:eastAsia="MS Mincho"/>
        </w:rPr>
        <w:t xml:space="preserve"> I</w:t>
      </w:r>
      <w:r>
        <w:t>n the Children’s Rights Report 2014 the National  Children’s Commissioner report that significant gaps in our knowledge of this issue is inhibiting our ability to prevent injury and death resulting from intentional self-harm. The Report made several recommendations aimed at addressing these gaps.</w:t>
      </w:r>
      <w:r>
        <w:rPr>
          <w:rStyle w:val="EndnoteReference"/>
        </w:rPr>
        <w:endnoteReference w:id="7"/>
      </w:r>
    </w:p>
    <w:p w:rsidR="00FB4DD0" w:rsidRPr="00D54AF1" w:rsidRDefault="00AA5830" w:rsidP="00A02F56">
      <w:pPr>
        <w:rPr>
          <w:b/>
          <w:color w:val="1F497D" w:themeColor="text2"/>
          <w:sz w:val="28"/>
        </w:rPr>
      </w:pPr>
      <w:r w:rsidRPr="00D54AF1">
        <w:rPr>
          <w:b/>
          <w:color w:val="1F497D" w:themeColor="text2"/>
          <w:sz w:val="28"/>
        </w:rPr>
        <w:t xml:space="preserve">Recommendation </w:t>
      </w:r>
    </w:p>
    <w:p w:rsidR="001F660A" w:rsidRDefault="00AA5830" w:rsidP="00A02F56">
      <w:pPr>
        <w:rPr>
          <w:rFonts w:eastAsia="MS Mincho"/>
          <w:b/>
          <w:bCs/>
          <w:i/>
        </w:rPr>
        <w:sectPr w:rsidR="001F660A" w:rsidSect="00CE718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418" w:bottom="1134" w:left="1418" w:header="709" w:footer="709" w:gutter="0"/>
          <w:cols w:space="708"/>
          <w:docGrid w:linePitch="360"/>
        </w:sectPr>
      </w:pPr>
      <w:r w:rsidRPr="002E2ACA">
        <w:rPr>
          <w:rFonts w:eastAsia="MS Mincho"/>
          <w:b/>
          <w:bCs/>
          <w:i/>
        </w:rPr>
        <w:t>Government fund mental health services</w:t>
      </w:r>
      <w:r>
        <w:rPr>
          <w:b/>
          <w:i/>
        </w:rPr>
        <w:t xml:space="preserve"> </w:t>
      </w:r>
      <w:r w:rsidRPr="00642B6F">
        <w:rPr>
          <w:rFonts w:eastAsia="MS Mincho"/>
          <w:b/>
          <w:bCs/>
          <w:i/>
        </w:rPr>
        <w:t xml:space="preserve">and implement the recommendations of the National Mental Health </w:t>
      </w:r>
      <w:r>
        <w:rPr>
          <w:rFonts w:eastAsia="MS Mincho"/>
          <w:b/>
          <w:bCs/>
          <w:i/>
        </w:rPr>
        <w:t>Commission</w:t>
      </w:r>
      <w:r w:rsidRPr="00642B6F">
        <w:rPr>
          <w:rFonts w:eastAsia="MS Mincho"/>
          <w:b/>
          <w:bCs/>
          <w:i/>
        </w:rPr>
        <w:t xml:space="preserve"> and the Children’s Rights Report 2014.</w:t>
      </w:r>
    </w:p>
    <w:p w:rsidR="00AA5830" w:rsidRPr="001F660A" w:rsidRDefault="00AA5830" w:rsidP="00A02F56">
      <w:pPr>
        <w:rPr>
          <w:b/>
        </w:rPr>
      </w:pPr>
    </w:p>
    <w:sectPr w:rsidR="00AA5830" w:rsidRPr="001F660A" w:rsidSect="00CE7182">
      <w:headerReference w:type="default" r:id="rId14"/>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6F" w:rsidRDefault="00642B6F" w:rsidP="00F14C6D">
      <w:r>
        <w:separator/>
      </w:r>
    </w:p>
  </w:endnote>
  <w:endnote w:type="continuationSeparator" w:id="0">
    <w:p w:rsidR="00642B6F" w:rsidRDefault="00642B6F" w:rsidP="00F14C6D">
      <w:r>
        <w:continuationSeparator/>
      </w:r>
    </w:p>
  </w:endnote>
  <w:endnote w:id="1">
    <w:p w:rsidR="00395190" w:rsidRPr="00155842" w:rsidRDefault="00395190">
      <w:pPr>
        <w:pStyle w:val="EndnoteText"/>
      </w:pPr>
      <w:r>
        <w:rPr>
          <w:rStyle w:val="EndnoteReference"/>
        </w:rPr>
        <w:endnoteRef/>
      </w:r>
      <w:r>
        <w:t xml:space="preserve"> Australian Bureau of Statistics, </w:t>
      </w:r>
      <w:r>
        <w:rPr>
          <w:i/>
        </w:rPr>
        <w:t>4326.0 – National Survey of Mental Health and Wellbeing: Summary of Results, 2007</w:t>
      </w:r>
      <w:r>
        <w:t xml:space="preserve"> (2008).</w:t>
      </w:r>
    </w:p>
  </w:endnote>
  <w:endnote w:id="2">
    <w:p w:rsidR="00395190" w:rsidRDefault="00395190">
      <w:pPr>
        <w:pStyle w:val="EndnoteText"/>
      </w:pPr>
      <w:r>
        <w:rPr>
          <w:rStyle w:val="EndnoteReference"/>
        </w:rPr>
        <w:endnoteRef/>
      </w:r>
      <w:r>
        <w:t xml:space="preserve"> Productivity Commission, </w:t>
      </w:r>
      <w:r>
        <w:rPr>
          <w:i/>
        </w:rPr>
        <w:t xml:space="preserve">Overcoming Indigenous Disadvantage: Key Indicators 2014 </w:t>
      </w:r>
      <w:r>
        <w:t>(2014), 8.41.</w:t>
      </w:r>
    </w:p>
  </w:endnote>
  <w:endnote w:id="3">
    <w:p w:rsidR="00395190" w:rsidRDefault="00395190" w:rsidP="00FB4DD0">
      <w:pPr>
        <w:pStyle w:val="EndnoteText"/>
      </w:pPr>
      <w:r>
        <w:rPr>
          <w:rStyle w:val="EndnoteReference"/>
        </w:rPr>
        <w:endnoteRef/>
      </w:r>
      <w:r>
        <w:t xml:space="preserve"> National Mental Health Commission </w:t>
      </w:r>
      <w:r w:rsidRPr="00504A40">
        <w:rPr>
          <w:i/>
        </w:rPr>
        <w:t xml:space="preserve">National Review of Mental Health Programmes and Services – Summary </w:t>
      </w:r>
      <w:r>
        <w:t>(2014).</w:t>
      </w:r>
      <w:r w:rsidR="005F22FE">
        <w:t xml:space="preserve"> At </w:t>
      </w:r>
      <w:hyperlink r:id="rId1" w:history="1">
        <w:r w:rsidR="005F22FE" w:rsidRPr="009E343B">
          <w:rPr>
            <w:rStyle w:val="Hyperlink"/>
          </w:rPr>
          <w:t>http://www.mentalhealthcommission.gov.au/our-reports/review-of-mental-health-programmes-and-services.aspx</w:t>
        </w:r>
      </w:hyperlink>
      <w:r w:rsidR="005F22FE">
        <w:t xml:space="preserve"> (viewed </w:t>
      </w:r>
      <w:r w:rsidR="002B5215">
        <w:t>24June 2015).</w:t>
      </w:r>
    </w:p>
  </w:endnote>
  <w:endnote w:id="4">
    <w:p w:rsidR="00057C71" w:rsidRDefault="00057C71">
      <w:pPr>
        <w:pStyle w:val="EndnoteText"/>
      </w:pPr>
      <w:r>
        <w:rPr>
          <w:rStyle w:val="EndnoteReference"/>
        </w:rPr>
        <w:endnoteRef/>
      </w:r>
      <w:r>
        <w:t xml:space="preserve"> </w:t>
      </w:r>
      <w:r w:rsidRPr="00057C71">
        <w:t xml:space="preserve">National Mental Health Commission, </w:t>
      </w:r>
      <w:r w:rsidRPr="005F22FE">
        <w:rPr>
          <w:i/>
        </w:rPr>
        <w:t>National Review of Mental Health Programmes and Services</w:t>
      </w:r>
      <w:r w:rsidR="005F22FE">
        <w:t xml:space="preserve"> Volume 1, p</w:t>
      </w:r>
      <w:r w:rsidR="002B5215">
        <w:t xml:space="preserve"> </w:t>
      </w:r>
      <w:r w:rsidR="005F22FE">
        <w:t>34 &amp; Volume 2, p 54</w:t>
      </w:r>
      <w:r w:rsidRPr="00057C71">
        <w:t xml:space="preserve"> (1 December 2014).</w:t>
      </w:r>
      <w:r w:rsidR="005F22FE">
        <w:t xml:space="preserve"> </w:t>
      </w:r>
    </w:p>
  </w:endnote>
  <w:endnote w:id="5">
    <w:p w:rsidR="002B5215" w:rsidRPr="00BC2A9B" w:rsidRDefault="002B5215">
      <w:pPr>
        <w:pStyle w:val="EndnoteText"/>
        <w:rPr>
          <w:i/>
        </w:rPr>
      </w:pPr>
      <w:r>
        <w:rPr>
          <w:rStyle w:val="EndnoteReference"/>
        </w:rPr>
        <w:endnoteRef/>
      </w:r>
      <w:r>
        <w:t xml:space="preserve"> </w:t>
      </w:r>
      <w:r w:rsidRPr="00057C71">
        <w:t xml:space="preserve">National Mental Health Commission, </w:t>
      </w:r>
      <w:r w:rsidRPr="005F22FE">
        <w:rPr>
          <w:i/>
        </w:rPr>
        <w:t>National Review of Mental Health Programmes and Services</w:t>
      </w:r>
      <w:r>
        <w:t xml:space="preserve"> Volume 1, p 80</w:t>
      </w:r>
      <w:r w:rsidRPr="00057C71">
        <w:t xml:space="preserve"> (1 December 2014).</w:t>
      </w:r>
      <w:r w:rsidR="00BC2A9B">
        <w:t xml:space="preserve"> These findings were confirmed by recent research conducted by the Australian Human Rights Commission. See </w:t>
      </w:r>
      <w:r w:rsidR="00BC2A9B">
        <w:rPr>
          <w:i/>
        </w:rPr>
        <w:t xml:space="preserve">Resilient Individuals </w:t>
      </w:r>
    </w:p>
  </w:endnote>
  <w:endnote w:id="6">
    <w:p w:rsidR="00570181" w:rsidRDefault="00570181" w:rsidP="00570181">
      <w:pPr>
        <w:pStyle w:val="EndnoteText"/>
      </w:pPr>
      <w:r>
        <w:rPr>
          <w:rStyle w:val="EndnoteReference"/>
        </w:rPr>
        <w:endnoteRef/>
      </w:r>
      <w:r>
        <w:t xml:space="preserve"> </w:t>
      </w:r>
      <w:r w:rsidRPr="00AA547D">
        <w:t xml:space="preserve">Australian Bureau of Statistics, </w:t>
      </w:r>
      <w:r w:rsidRPr="00AA547D">
        <w:rPr>
          <w:i/>
        </w:rPr>
        <w:t xml:space="preserve">3303.0 – Causes of Death, Australia, 2012 </w:t>
      </w:r>
      <w:r w:rsidRPr="00AA547D">
        <w:t xml:space="preserve">(2014), Table 1.3, Line 40. At </w:t>
      </w:r>
      <w:hyperlink r:id="rId2" w:history="1">
        <w:r w:rsidRPr="00AA547D">
          <w:rPr>
            <w:rStyle w:val="Hyperlink"/>
          </w:rPr>
          <w:t>http://www.abs.gov.au/AUSSTATS/abs@.nsf/Lookup/3303.0Explanatory%20Notes12012?OpenDocument</w:t>
        </w:r>
      </w:hyperlink>
      <w:r>
        <w:t xml:space="preserve"> (viewed 12 June</w:t>
      </w:r>
      <w:r w:rsidRPr="00AA547D">
        <w:t xml:space="preserve"> </w:t>
      </w:r>
      <w:r>
        <w:t>2015</w:t>
      </w:r>
      <w:r w:rsidRPr="00AA547D">
        <w:t>).</w:t>
      </w:r>
    </w:p>
  </w:endnote>
  <w:endnote w:id="7">
    <w:p w:rsidR="00570181" w:rsidRDefault="00570181" w:rsidP="00570181">
      <w:pPr>
        <w:pStyle w:val="EndnoteText"/>
      </w:pPr>
      <w:r>
        <w:rPr>
          <w:rStyle w:val="EndnoteReference"/>
        </w:rPr>
        <w:endnoteRef/>
      </w:r>
      <w:r>
        <w:t xml:space="preserve"> </w:t>
      </w:r>
      <w:r w:rsidRPr="00840E6D">
        <w:rPr>
          <w:rFonts w:cs="Arial"/>
        </w:rPr>
        <w:t xml:space="preserve">Australian Human Rights Commission, </w:t>
      </w:r>
      <w:r w:rsidRPr="00840E6D">
        <w:rPr>
          <w:rFonts w:cs="Arial"/>
          <w:i/>
          <w:iCs/>
        </w:rPr>
        <w:t>Children’s Rights Report 2014</w:t>
      </w:r>
      <w:r w:rsidRPr="00840E6D">
        <w:rPr>
          <w:rFonts w:cs="Arial"/>
          <w:iCs/>
        </w:rPr>
        <w:t xml:space="preserve"> (2014)</w:t>
      </w:r>
      <w:r w:rsidRPr="00840E6D">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E6" w:rsidRDefault="00972E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E6" w:rsidRDefault="00972E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6F" w:rsidRDefault="00642B6F" w:rsidP="00F14C6D">
      <w:r>
        <w:separator/>
      </w:r>
    </w:p>
  </w:footnote>
  <w:footnote w:type="continuationSeparator" w:id="0">
    <w:p w:rsidR="00642B6F" w:rsidRDefault="00642B6F"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E6" w:rsidRDefault="00972E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B6F" w:rsidRPr="00900858" w:rsidRDefault="00306ACE" w:rsidP="00642B6F">
    <w:pPr>
      <w:pStyle w:val="Header"/>
      <w:rPr>
        <w:sz w:val="20"/>
      </w:rPr>
    </w:pPr>
    <w:r>
      <w:rPr>
        <w:b/>
        <w:noProof/>
      </w:rPr>
      <w:drawing>
        <wp:anchor distT="0" distB="0" distL="114300" distR="114300" simplePos="0" relativeHeight="251658240" behindDoc="0" locked="0" layoutInCell="1" allowOverlap="1" wp14:anchorId="205E0766" wp14:editId="524E8548">
          <wp:simplePos x="0" y="0"/>
          <wp:positionH relativeFrom="margin">
            <wp:align>left</wp:align>
          </wp:positionH>
          <wp:positionV relativeFrom="page">
            <wp:posOffset>457200</wp:posOffset>
          </wp:positionV>
          <wp:extent cx="2359660" cy="798830"/>
          <wp:effectExtent l="0" t="0" r="254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798830"/>
                  </a:xfrm>
                  <a:prstGeom prst="rect">
                    <a:avLst/>
                  </a:prstGeom>
                  <a:noFill/>
                </pic:spPr>
              </pic:pic>
            </a:graphicData>
          </a:graphic>
        </wp:anchor>
      </w:drawing>
    </w:r>
    <w:r w:rsidR="00900858" w:rsidRPr="00900858">
      <w:rPr>
        <w:sz w:val="20"/>
      </w:rPr>
      <w:t>Universal Periodic Review</w:t>
    </w:r>
  </w:p>
  <w:p w:rsidR="00642B6F" w:rsidRPr="00642B6F" w:rsidRDefault="002B5215" w:rsidP="002B5215">
    <w:pPr>
      <w:pStyle w:val="Header"/>
      <w:tabs>
        <w:tab w:val="left" w:pos="630"/>
      </w:tabs>
      <w:jc w:val="left"/>
      <w:rPr>
        <w:b/>
      </w:rPr>
    </w:pPr>
    <w:r>
      <w:rPr>
        <w:b/>
      </w:rPr>
      <w:tab/>
    </w:r>
    <w:r>
      <w:rPr>
        <w:b/>
      </w:rPr>
      <w:tab/>
    </w:r>
    <w:r>
      <w:rPr>
        <w:b/>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E6" w:rsidRDefault="00972E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60A" w:rsidRPr="00642B6F" w:rsidRDefault="001F660A" w:rsidP="002B5215">
    <w:pPr>
      <w:pStyle w:val="Header"/>
      <w:tabs>
        <w:tab w:val="left" w:pos="630"/>
      </w:tabs>
      <w:jc w:val="left"/>
      <w:rPr>
        <w:b/>
      </w:rPr>
    </w:pPr>
    <w:r>
      <w:rPr>
        <w:b/>
      </w:rPr>
      <w:tab/>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CD1D01"/>
    <w:multiLevelType w:val="hybridMultilevel"/>
    <w:tmpl w:val="371211D0"/>
    <w:lvl w:ilvl="0" w:tplc="BF9C346A">
      <w:start w:val="15"/>
      <w:numFmt w:val="bullet"/>
      <w:lvlText w:val=""/>
      <w:lvlJc w:val="left"/>
      <w:pPr>
        <w:ind w:left="720" w:hanging="360"/>
      </w:pPr>
      <w:rPr>
        <w:rFonts w:ascii="Symbol" w:eastAsia="MS Mincho"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2"/>
  </w:num>
  <w:num w:numId="12">
    <w:abstractNumId w:val="18"/>
  </w:num>
  <w:num w:numId="13">
    <w:abstractNumId w:val="13"/>
  </w:num>
  <w:num w:numId="14">
    <w:abstractNumId w:val="21"/>
  </w:num>
  <w:num w:numId="15">
    <w:abstractNumId w:val="15"/>
  </w:num>
  <w:num w:numId="16">
    <w:abstractNumId w:val="10"/>
  </w:num>
  <w:num w:numId="17">
    <w:abstractNumId w:val="2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9"/>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4"/>
  </w:num>
  <w:num w:numId="2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6F"/>
    <w:rsid w:val="0001254B"/>
    <w:rsid w:val="00013272"/>
    <w:rsid w:val="00021134"/>
    <w:rsid w:val="0002557A"/>
    <w:rsid w:val="000540A0"/>
    <w:rsid w:val="000579B1"/>
    <w:rsid w:val="00057C71"/>
    <w:rsid w:val="00074750"/>
    <w:rsid w:val="00074CD6"/>
    <w:rsid w:val="000858F5"/>
    <w:rsid w:val="000B0A5D"/>
    <w:rsid w:val="000E684F"/>
    <w:rsid w:val="001011C8"/>
    <w:rsid w:val="00105DE4"/>
    <w:rsid w:val="00132462"/>
    <w:rsid w:val="00140077"/>
    <w:rsid w:val="001523D8"/>
    <w:rsid w:val="00155842"/>
    <w:rsid w:val="001566D4"/>
    <w:rsid w:val="00162A8D"/>
    <w:rsid w:val="001726B7"/>
    <w:rsid w:val="00184098"/>
    <w:rsid w:val="001867A2"/>
    <w:rsid w:val="001A5D46"/>
    <w:rsid w:val="001B0353"/>
    <w:rsid w:val="001C139C"/>
    <w:rsid w:val="001C451B"/>
    <w:rsid w:val="001E2CB7"/>
    <w:rsid w:val="001F2BBB"/>
    <w:rsid w:val="001F660A"/>
    <w:rsid w:val="0020759E"/>
    <w:rsid w:val="00212178"/>
    <w:rsid w:val="00231ED1"/>
    <w:rsid w:val="0023303F"/>
    <w:rsid w:val="0024300C"/>
    <w:rsid w:val="0024557E"/>
    <w:rsid w:val="002702D9"/>
    <w:rsid w:val="002A3748"/>
    <w:rsid w:val="002B23FB"/>
    <w:rsid w:val="002B5215"/>
    <w:rsid w:val="002E2ACA"/>
    <w:rsid w:val="003040CA"/>
    <w:rsid w:val="00306ACE"/>
    <w:rsid w:val="00310ED4"/>
    <w:rsid w:val="0031492A"/>
    <w:rsid w:val="00316504"/>
    <w:rsid w:val="00316C1A"/>
    <w:rsid w:val="00321AF0"/>
    <w:rsid w:val="00356D15"/>
    <w:rsid w:val="00377C8F"/>
    <w:rsid w:val="003931C7"/>
    <w:rsid w:val="00395190"/>
    <w:rsid w:val="003955AE"/>
    <w:rsid w:val="00395B25"/>
    <w:rsid w:val="003A533F"/>
    <w:rsid w:val="003B18A7"/>
    <w:rsid w:val="003C5A9A"/>
    <w:rsid w:val="003F0CEE"/>
    <w:rsid w:val="004215B3"/>
    <w:rsid w:val="00444303"/>
    <w:rsid w:val="004561BE"/>
    <w:rsid w:val="00462D4C"/>
    <w:rsid w:val="00473DB9"/>
    <w:rsid w:val="00474063"/>
    <w:rsid w:val="00476EEA"/>
    <w:rsid w:val="00486F98"/>
    <w:rsid w:val="00494D4B"/>
    <w:rsid w:val="004A722D"/>
    <w:rsid w:val="004C5E25"/>
    <w:rsid w:val="004E2BD7"/>
    <w:rsid w:val="004F53EF"/>
    <w:rsid w:val="00503E04"/>
    <w:rsid w:val="00504B28"/>
    <w:rsid w:val="005113E6"/>
    <w:rsid w:val="00513540"/>
    <w:rsid w:val="00522CED"/>
    <w:rsid w:val="0054366D"/>
    <w:rsid w:val="00554C04"/>
    <w:rsid w:val="00570181"/>
    <w:rsid w:val="005A365B"/>
    <w:rsid w:val="005B7515"/>
    <w:rsid w:val="005C1654"/>
    <w:rsid w:val="005D04F4"/>
    <w:rsid w:val="005D1F34"/>
    <w:rsid w:val="005F22FE"/>
    <w:rsid w:val="005F5F45"/>
    <w:rsid w:val="00642B6F"/>
    <w:rsid w:val="00686AFB"/>
    <w:rsid w:val="00690313"/>
    <w:rsid w:val="00696390"/>
    <w:rsid w:val="006A6BB3"/>
    <w:rsid w:val="006B3680"/>
    <w:rsid w:val="006D4D6A"/>
    <w:rsid w:val="006D5EE5"/>
    <w:rsid w:val="006E06ED"/>
    <w:rsid w:val="006E06F5"/>
    <w:rsid w:val="007039FC"/>
    <w:rsid w:val="00706FAB"/>
    <w:rsid w:val="00707793"/>
    <w:rsid w:val="007169BB"/>
    <w:rsid w:val="00725D5E"/>
    <w:rsid w:val="00745701"/>
    <w:rsid w:val="007548CA"/>
    <w:rsid w:val="00770DCB"/>
    <w:rsid w:val="00775485"/>
    <w:rsid w:val="007841E1"/>
    <w:rsid w:val="007D40BD"/>
    <w:rsid w:val="007E1866"/>
    <w:rsid w:val="007E6434"/>
    <w:rsid w:val="00810ABF"/>
    <w:rsid w:val="008125EE"/>
    <w:rsid w:val="00817FA7"/>
    <w:rsid w:val="0083209A"/>
    <w:rsid w:val="00860D73"/>
    <w:rsid w:val="008724DE"/>
    <w:rsid w:val="008A2AF7"/>
    <w:rsid w:val="008A3D57"/>
    <w:rsid w:val="008E1133"/>
    <w:rsid w:val="008E3D60"/>
    <w:rsid w:val="00900858"/>
    <w:rsid w:val="0090165F"/>
    <w:rsid w:val="00921CB7"/>
    <w:rsid w:val="00923C4F"/>
    <w:rsid w:val="00942DCD"/>
    <w:rsid w:val="009472C4"/>
    <w:rsid w:val="00950E88"/>
    <w:rsid w:val="00966C2F"/>
    <w:rsid w:val="00972EE6"/>
    <w:rsid w:val="009802F3"/>
    <w:rsid w:val="009A5753"/>
    <w:rsid w:val="009C5FB8"/>
    <w:rsid w:val="009E7FC4"/>
    <w:rsid w:val="009F51D9"/>
    <w:rsid w:val="009F7AAC"/>
    <w:rsid w:val="00A02F56"/>
    <w:rsid w:val="00A0406E"/>
    <w:rsid w:val="00A41355"/>
    <w:rsid w:val="00A43B92"/>
    <w:rsid w:val="00A44720"/>
    <w:rsid w:val="00A6179E"/>
    <w:rsid w:val="00A66F67"/>
    <w:rsid w:val="00A707C4"/>
    <w:rsid w:val="00AA5830"/>
    <w:rsid w:val="00AC27AB"/>
    <w:rsid w:val="00AC6A34"/>
    <w:rsid w:val="00AD2FCB"/>
    <w:rsid w:val="00AE76EB"/>
    <w:rsid w:val="00B22697"/>
    <w:rsid w:val="00B277E0"/>
    <w:rsid w:val="00B52E2D"/>
    <w:rsid w:val="00B76653"/>
    <w:rsid w:val="00BA262D"/>
    <w:rsid w:val="00BC2A9B"/>
    <w:rsid w:val="00BC79EB"/>
    <w:rsid w:val="00C076F2"/>
    <w:rsid w:val="00C247EB"/>
    <w:rsid w:val="00C25BDA"/>
    <w:rsid w:val="00C46E06"/>
    <w:rsid w:val="00C53971"/>
    <w:rsid w:val="00C54FB1"/>
    <w:rsid w:val="00C80F9F"/>
    <w:rsid w:val="00CA0D78"/>
    <w:rsid w:val="00CB27A8"/>
    <w:rsid w:val="00CD1ACF"/>
    <w:rsid w:val="00CE7182"/>
    <w:rsid w:val="00D1003E"/>
    <w:rsid w:val="00D36D90"/>
    <w:rsid w:val="00D54AF1"/>
    <w:rsid w:val="00D65C76"/>
    <w:rsid w:val="00D773C3"/>
    <w:rsid w:val="00DA2F73"/>
    <w:rsid w:val="00DA42E8"/>
    <w:rsid w:val="00DC193F"/>
    <w:rsid w:val="00DC3C4F"/>
    <w:rsid w:val="00DC462F"/>
    <w:rsid w:val="00E24FA3"/>
    <w:rsid w:val="00E328CD"/>
    <w:rsid w:val="00E45954"/>
    <w:rsid w:val="00E75D90"/>
    <w:rsid w:val="00E835AF"/>
    <w:rsid w:val="00E97EF8"/>
    <w:rsid w:val="00EE44D7"/>
    <w:rsid w:val="00F07FCC"/>
    <w:rsid w:val="00F14C6D"/>
    <w:rsid w:val="00F3100E"/>
    <w:rsid w:val="00F400E8"/>
    <w:rsid w:val="00F67FF6"/>
    <w:rsid w:val="00F71A6E"/>
    <w:rsid w:val="00F733F4"/>
    <w:rsid w:val="00F9078E"/>
    <w:rsid w:val="00F95982"/>
    <w:rsid w:val="00F97EF4"/>
    <w:rsid w:val="00FA024F"/>
    <w:rsid w:val="00FB069B"/>
    <w:rsid w:val="00FB4DD0"/>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C439F09-9877-4BBD-9DA2-D66F361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F733F4"/>
    <w:pPr>
      <w:ind w:left="720"/>
      <w:contextualSpacing/>
    </w:pPr>
  </w:style>
  <w:style w:type="paragraph" w:styleId="BalloonText">
    <w:name w:val="Balloon Text"/>
    <w:basedOn w:val="Normal"/>
    <w:link w:val="BalloonTextChar"/>
    <w:semiHidden/>
    <w:unhideWhenUsed/>
    <w:locked/>
    <w:rsid w:val="00F97EF4"/>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F97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2" Type="http://schemas.openxmlformats.org/officeDocument/2006/relationships/hyperlink" Target="http://www.abs.gov.au/AUSSTATS/abs@.nsf/Lookup/3303.0Explanatory%20Notes12012?OpenDocument" TargetMode="External"/><Relationship Id="rId1" Type="http://schemas.openxmlformats.org/officeDocument/2006/relationships/hyperlink" Target="http://www.mentalhealthcommission.gov.au/our-reports/review-of-mental-health-programmes-and-service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066E-D23E-4C65-86A8-18C53790D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323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Mala Wadhera</dc:creator>
  <cp:lastModifiedBy>Mala Wadhera</cp:lastModifiedBy>
  <cp:revision>8</cp:revision>
  <cp:lastPrinted>2015-06-29T06:15:00Z</cp:lastPrinted>
  <dcterms:created xsi:type="dcterms:W3CDTF">2015-06-12T06:39:00Z</dcterms:created>
  <dcterms:modified xsi:type="dcterms:W3CDTF">2015-06-30T04:22:00Z</dcterms:modified>
</cp:coreProperties>
</file>