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013" w:rsidRDefault="00704CF2" w:rsidP="002402F1">
      <w:pPr>
        <w:spacing w:before="0" w:after="0"/>
        <w:jc w:val="both"/>
      </w:pPr>
      <w:r>
        <w:t>Wednesday, 15 April 2015</w:t>
      </w:r>
    </w:p>
    <w:p w:rsidR="00006270" w:rsidRDefault="00006270" w:rsidP="002402F1">
      <w:pPr>
        <w:spacing w:before="0" w:after="0"/>
        <w:jc w:val="both"/>
      </w:pPr>
    </w:p>
    <w:p w:rsidR="002402F1" w:rsidRDefault="002402F1" w:rsidP="002402F1">
      <w:pPr>
        <w:spacing w:before="0" w:after="0"/>
        <w:jc w:val="both"/>
      </w:pPr>
      <w:r>
        <w:t>Committee Secretary</w:t>
      </w:r>
    </w:p>
    <w:p w:rsidR="002402F1" w:rsidRDefault="002402F1" w:rsidP="002402F1">
      <w:pPr>
        <w:spacing w:before="0" w:after="0"/>
        <w:jc w:val="both"/>
      </w:pPr>
      <w:r>
        <w:t>Senate Legal and Constitutional Affairs Committee</w:t>
      </w:r>
    </w:p>
    <w:p w:rsidR="002402F1" w:rsidRDefault="002402F1" w:rsidP="002402F1">
      <w:pPr>
        <w:spacing w:before="0" w:after="0"/>
        <w:jc w:val="both"/>
      </w:pPr>
      <w:r>
        <w:t>PO Box 6100</w:t>
      </w:r>
    </w:p>
    <w:p w:rsidR="002402F1" w:rsidRDefault="002402F1" w:rsidP="002402F1">
      <w:pPr>
        <w:spacing w:before="0" w:after="0"/>
        <w:jc w:val="both"/>
      </w:pPr>
      <w:r>
        <w:t>Parliament House</w:t>
      </w:r>
    </w:p>
    <w:p w:rsidR="002402F1" w:rsidRDefault="002402F1" w:rsidP="002402F1">
      <w:pPr>
        <w:spacing w:before="0" w:after="0"/>
        <w:jc w:val="both"/>
      </w:pPr>
      <w:r>
        <w:t>Canberra ACT 2600</w:t>
      </w:r>
      <w:bookmarkStart w:id="0" w:name="_GoBack"/>
      <w:bookmarkEnd w:id="0"/>
    </w:p>
    <w:p w:rsidR="002402F1" w:rsidRDefault="003D40BA" w:rsidP="002402F1">
      <w:pPr>
        <w:spacing w:before="0" w:after="0"/>
        <w:jc w:val="both"/>
      </w:pPr>
      <w:r w:rsidRPr="003D40BA">
        <w:rPr>
          <w:i/>
        </w:rPr>
        <w:t>By e</w:t>
      </w:r>
      <w:r w:rsidR="002402F1" w:rsidRPr="003D40BA">
        <w:rPr>
          <w:i/>
        </w:rPr>
        <w:t>mail</w:t>
      </w:r>
      <w:r w:rsidR="002402F1">
        <w:t xml:space="preserve">: </w:t>
      </w:r>
      <w:hyperlink r:id="rId9" w:history="1">
        <w:r w:rsidR="002402F1" w:rsidRPr="00FA10EA">
          <w:rPr>
            <w:rStyle w:val="Hyperlink"/>
          </w:rPr>
          <w:t>legcon.sen@aph.gov.au</w:t>
        </w:r>
      </w:hyperlink>
      <w:r w:rsidR="002402F1">
        <w:t xml:space="preserve"> </w:t>
      </w:r>
    </w:p>
    <w:p w:rsidR="002402F1" w:rsidRDefault="002402F1" w:rsidP="002402F1">
      <w:pPr>
        <w:spacing w:before="0" w:after="0"/>
        <w:jc w:val="both"/>
      </w:pPr>
    </w:p>
    <w:p w:rsidR="00666AE9" w:rsidRDefault="00666AE9" w:rsidP="002402F1">
      <w:pPr>
        <w:spacing w:before="0" w:after="0"/>
        <w:jc w:val="both"/>
      </w:pPr>
    </w:p>
    <w:p w:rsidR="002402F1" w:rsidRDefault="002402F1" w:rsidP="002402F1">
      <w:pPr>
        <w:spacing w:before="0" w:after="0"/>
        <w:jc w:val="both"/>
      </w:pPr>
      <w:r>
        <w:t>Dear Committee Secretary,</w:t>
      </w:r>
    </w:p>
    <w:p w:rsidR="002402F1" w:rsidRDefault="002402F1" w:rsidP="002402F1">
      <w:pPr>
        <w:spacing w:before="0" w:after="0"/>
        <w:jc w:val="both"/>
      </w:pPr>
    </w:p>
    <w:p w:rsidR="003D40BA" w:rsidRPr="003D40BA" w:rsidRDefault="003D40BA" w:rsidP="002402F1">
      <w:pPr>
        <w:spacing w:before="0" w:after="0"/>
        <w:jc w:val="both"/>
        <w:rPr>
          <w:b/>
        </w:rPr>
      </w:pPr>
      <w:bookmarkStart w:id="1" w:name="OLE_LINK2"/>
      <w:r>
        <w:rPr>
          <w:b/>
        </w:rPr>
        <w:t xml:space="preserve">Senate inquiry into the Copyright Amendment (Online Infringement) Bill 2015 (Cth) </w:t>
      </w:r>
    </w:p>
    <w:bookmarkEnd w:id="1"/>
    <w:p w:rsidR="003D40BA" w:rsidRDefault="003D40BA" w:rsidP="002402F1">
      <w:pPr>
        <w:spacing w:before="0" w:after="0"/>
        <w:jc w:val="both"/>
      </w:pPr>
    </w:p>
    <w:p w:rsidR="002402F1" w:rsidRDefault="002402F1" w:rsidP="002402F1">
      <w:pPr>
        <w:spacing w:before="0" w:after="0"/>
        <w:jc w:val="both"/>
      </w:pPr>
      <w:r>
        <w:t xml:space="preserve">Thank you for providing the opportunity to make a submission </w:t>
      </w:r>
      <w:r w:rsidR="009A1736">
        <w:t xml:space="preserve">in relation </w:t>
      </w:r>
      <w:r>
        <w:t>to the Copyright Amendment (Online Infringement) Bill 2015 (Cth).</w:t>
      </w:r>
    </w:p>
    <w:p w:rsidR="002402F1" w:rsidRDefault="002402F1" w:rsidP="002402F1">
      <w:pPr>
        <w:spacing w:before="0" w:after="0"/>
        <w:jc w:val="both"/>
      </w:pPr>
    </w:p>
    <w:p w:rsidR="002402F1" w:rsidRDefault="002402F1" w:rsidP="002402F1">
      <w:pPr>
        <w:spacing w:before="0" w:after="0"/>
        <w:jc w:val="both"/>
      </w:pPr>
      <w:r>
        <w:t>The Commission is aware that the intention of this Bill is to "introduce a key reform to reduce online copyright infringement" by providing for court injunctions requiring Carriage Service Providers (CS</w:t>
      </w:r>
      <w:r w:rsidR="009A1736">
        <w:t>Ps</w:t>
      </w:r>
      <w:r>
        <w:t>) to block foreign online locations that facilitate copyright infringement.</w:t>
      </w:r>
    </w:p>
    <w:p w:rsidR="002402F1" w:rsidRDefault="002402F1" w:rsidP="002402F1">
      <w:pPr>
        <w:spacing w:before="0" w:after="0"/>
        <w:jc w:val="both"/>
      </w:pPr>
    </w:p>
    <w:p w:rsidR="002402F1" w:rsidRDefault="002402F1" w:rsidP="002402F1">
      <w:pPr>
        <w:spacing w:before="0" w:after="0"/>
        <w:jc w:val="both"/>
      </w:pPr>
      <w:r>
        <w:t xml:space="preserve">The Commission is mindful that attempts to stop copyright infringement are consistent with advancing human rights. </w:t>
      </w:r>
      <w:r w:rsidR="00832124">
        <w:t>P</w:t>
      </w:r>
      <w:r w:rsidR="000D09B8">
        <w:t>roperty rights are human rights. P</w:t>
      </w:r>
      <w:r w:rsidR="00832124">
        <w:t>eople have the right to own p</w:t>
      </w:r>
      <w:r>
        <w:t xml:space="preserve">roperty, whether intellectual or physical, and </w:t>
      </w:r>
      <w:r w:rsidR="00832124">
        <w:t xml:space="preserve">these rights </w:t>
      </w:r>
      <w:r>
        <w:t>should be preserved and protected.</w:t>
      </w:r>
    </w:p>
    <w:p w:rsidR="002402F1" w:rsidRDefault="002402F1" w:rsidP="002402F1">
      <w:pPr>
        <w:spacing w:before="0" w:after="0"/>
        <w:jc w:val="both"/>
      </w:pPr>
    </w:p>
    <w:p w:rsidR="002402F1" w:rsidRDefault="002402F1" w:rsidP="002402F1">
      <w:pPr>
        <w:spacing w:before="0" w:after="0"/>
        <w:jc w:val="both"/>
      </w:pPr>
      <w:r>
        <w:t xml:space="preserve">However, the justifications to stop copyright infringement are not unlimited. Respecting intellectual property rights, including </w:t>
      </w:r>
      <w:r w:rsidR="00DB6F48">
        <w:t>copyright</w:t>
      </w:r>
      <w:r>
        <w:t xml:space="preserve"> can unreasonably restrict freedom of expression without proper 'fair use' exceptions in copyright law. Similarly, without a sufficiently </w:t>
      </w:r>
      <w:r w:rsidR="009A1736">
        <w:t xml:space="preserve">high </w:t>
      </w:r>
      <w:r>
        <w:t>threshold to justify a court injunction such a Bill could quickly become a de</w:t>
      </w:r>
      <w:r w:rsidR="009A1736">
        <w:t xml:space="preserve"> </w:t>
      </w:r>
      <w:r>
        <w:t>facto internet filter.</w:t>
      </w:r>
    </w:p>
    <w:p w:rsidR="002402F1" w:rsidRDefault="002402F1" w:rsidP="002402F1">
      <w:pPr>
        <w:spacing w:before="0" w:after="0"/>
        <w:jc w:val="both"/>
      </w:pPr>
    </w:p>
    <w:p w:rsidR="002402F1" w:rsidRDefault="002402F1" w:rsidP="002402F1">
      <w:pPr>
        <w:spacing w:before="0" w:after="0"/>
        <w:jc w:val="both"/>
      </w:pPr>
      <w:r>
        <w:t>The Bill attempts to be prescriptive by establishing a 'test' for courts to assess whether an injunction can be granted</w:t>
      </w:r>
      <w:r w:rsidR="00832124">
        <w:t xml:space="preserve"> and setting out a number of factors that the Court must take into account when applying this test</w:t>
      </w:r>
      <w:r>
        <w:t>. The factors informing this test include:</w:t>
      </w:r>
    </w:p>
    <w:p w:rsidR="002402F1" w:rsidRDefault="002402F1" w:rsidP="002402F1">
      <w:pPr>
        <w:spacing w:before="0" w:after="0"/>
        <w:jc w:val="both"/>
      </w:pPr>
    </w:p>
    <w:p w:rsidR="002402F1" w:rsidRDefault="009A1736" w:rsidP="002402F1">
      <w:pPr>
        <w:numPr>
          <w:ilvl w:val="0"/>
          <w:numId w:val="33"/>
        </w:numPr>
        <w:spacing w:before="0" w:after="0"/>
        <w:jc w:val="both"/>
      </w:pPr>
      <w:r>
        <w:t>t</w:t>
      </w:r>
      <w:r w:rsidR="002402F1">
        <w:t>he flagrancy of the infringement or its facilitation</w:t>
      </w:r>
    </w:p>
    <w:p w:rsidR="002402F1" w:rsidRDefault="002402F1" w:rsidP="002402F1">
      <w:pPr>
        <w:numPr>
          <w:ilvl w:val="0"/>
          <w:numId w:val="33"/>
        </w:numPr>
        <w:spacing w:before="0" w:after="0"/>
        <w:jc w:val="both"/>
      </w:pPr>
      <w:r>
        <w:t>whether disabling access to the online location is a proportionate response in the circumstances</w:t>
      </w:r>
    </w:p>
    <w:p w:rsidR="002402F1" w:rsidRDefault="002402F1" w:rsidP="002402F1">
      <w:pPr>
        <w:numPr>
          <w:ilvl w:val="0"/>
          <w:numId w:val="33"/>
        </w:numPr>
        <w:spacing w:before="0" w:after="0"/>
        <w:jc w:val="both"/>
      </w:pPr>
      <w:r>
        <w:t>the impact on any person likely to be affected by the grant of the injunction, and</w:t>
      </w:r>
    </w:p>
    <w:p w:rsidR="002402F1" w:rsidRDefault="009A1736" w:rsidP="002402F1">
      <w:pPr>
        <w:numPr>
          <w:ilvl w:val="0"/>
          <w:numId w:val="33"/>
        </w:numPr>
        <w:spacing w:before="0" w:after="0"/>
        <w:jc w:val="both"/>
      </w:pPr>
      <w:proofErr w:type="gramStart"/>
      <w:r>
        <w:lastRenderedPageBreak/>
        <w:t>w</w:t>
      </w:r>
      <w:r w:rsidR="00DB6F48">
        <w:t>hether</w:t>
      </w:r>
      <w:proofErr w:type="gramEnd"/>
      <w:r w:rsidR="002402F1">
        <w:t xml:space="preserve"> it is in the public interest to disable access to the online location.</w:t>
      </w:r>
    </w:p>
    <w:p w:rsidR="002402F1" w:rsidRDefault="002402F1" w:rsidP="002402F1">
      <w:pPr>
        <w:spacing w:before="0" w:after="0"/>
        <w:jc w:val="both"/>
      </w:pPr>
    </w:p>
    <w:p w:rsidR="002402F1" w:rsidRDefault="002402F1" w:rsidP="002402F1">
      <w:pPr>
        <w:spacing w:before="0" w:after="0"/>
        <w:jc w:val="both"/>
      </w:pPr>
      <w:r>
        <w:t>While these factors do ensure that ther</w:t>
      </w:r>
      <w:r w:rsidR="00DB6F48">
        <w:t xml:space="preserve">e is a threshold to inform the </w:t>
      </w:r>
      <w:r>
        <w:t>granting of an injunction, they are not sufficient.</w:t>
      </w:r>
    </w:p>
    <w:p w:rsidR="002402F1" w:rsidRDefault="002402F1" w:rsidP="002402F1">
      <w:pPr>
        <w:spacing w:before="0" w:after="0"/>
        <w:jc w:val="both"/>
      </w:pPr>
    </w:p>
    <w:p w:rsidR="002402F1" w:rsidRDefault="002402F1" w:rsidP="002402F1">
      <w:pPr>
        <w:spacing w:before="0" w:after="0"/>
        <w:jc w:val="both"/>
      </w:pPr>
      <w:r>
        <w:t>Australia's copyright law is in need of</w:t>
      </w:r>
      <w:r w:rsidR="00DB6F48">
        <w:t xml:space="preserve"> serious reform. </w:t>
      </w:r>
      <w:r w:rsidR="009A1736">
        <w:t>While the Copyright Act contains a number of ‘fair dealing’ provisions for particular purposes, a</w:t>
      </w:r>
      <w:r w:rsidR="00DB6F48">
        <w:t xml:space="preserve"> key problem </w:t>
      </w:r>
      <w:r>
        <w:t>with Australia's copyright regime is the ab</w:t>
      </w:r>
      <w:r w:rsidR="00DB6F48">
        <w:t xml:space="preserve">sence of a reasonable 'fair </w:t>
      </w:r>
      <w:r>
        <w:t>use' provision that accommodates both</w:t>
      </w:r>
      <w:r w:rsidR="00DB6F48">
        <w:t xml:space="preserve"> freedom of expression and the </w:t>
      </w:r>
      <w:r>
        <w:t>protection of property rights. Under t</w:t>
      </w:r>
      <w:r w:rsidR="00DB6F48">
        <w:t xml:space="preserve">he regime proposed in the Bill </w:t>
      </w:r>
      <w:r>
        <w:t>there remains a</w:t>
      </w:r>
      <w:r w:rsidR="000D09B8">
        <w:t>n outside</w:t>
      </w:r>
      <w:r>
        <w:t xml:space="preserve"> risk a website that</w:t>
      </w:r>
      <w:r w:rsidR="00DB6F48">
        <w:t xml:space="preserve"> carries content that would be </w:t>
      </w:r>
      <w:r>
        <w:t xml:space="preserve">covered by another country's 'fair use' exception may be blocked because of </w:t>
      </w:r>
      <w:r w:rsidR="009A1736">
        <w:t>the absence of a sufficiently broad</w:t>
      </w:r>
      <w:r>
        <w:t xml:space="preserve"> 'fair use' exception in Australian law.</w:t>
      </w:r>
    </w:p>
    <w:p w:rsidR="002402F1" w:rsidRDefault="002402F1" w:rsidP="002402F1">
      <w:pPr>
        <w:spacing w:before="0" w:after="0"/>
        <w:jc w:val="both"/>
      </w:pPr>
    </w:p>
    <w:p w:rsidR="003D4131" w:rsidRDefault="003D4131" w:rsidP="003D4131">
      <w:pPr>
        <w:spacing w:before="0" w:after="0"/>
        <w:jc w:val="both"/>
      </w:pPr>
      <w:r>
        <w:t>In response the Australian Human Rights Commission recommends that:</w:t>
      </w:r>
    </w:p>
    <w:p w:rsidR="003D4131" w:rsidRDefault="003D4131" w:rsidP="003D4131">
      <w:pPr>
        <w:spacing w:before="0" w:after="0"/>
        <w:jc w:val="both"/>
      </w:pPr>
    </w:p>
    <w:p w:rsidR="003D4131" w:rsidRDefault="003D4131" w:rsidP="003D4131">
      <w:pPr>
        <w:pStyle w:val="ListParagraph"/>
        <w:numPr>
          <w:ilvl w:val="0"/>
          <w:numId w:val="35"/>
        </w:numPr>
        <w:spacing w:before="0" w:after="0"/>
        <w:jc w:val="both"/>
      </w:pPr>
      <w:r>
        <w:t>An additional 'factor' that assesses the extent of the infringement as a share of the total copyrighted work (i.e., only ten seconds of a two-hour long movie), and</w:t>
      </w:r>
    </w:p>
    <w:p w:rsidR="002402F1" w:rsidRDefault="003D4131" w:rsidP="003D4131">
      <w:pPr>
        <w:pStyle w:val="ListParagraph"/>
        <w:numPr>
          <w:ilvl w:val="0"/>
          <w:numId w:val="35"/>
        </w:numPr>
        <w:spacing w:before="0" w:after="0"/>
        <w:jc w:val="both"/>
      </w:pPr>
      <w:r>
        <w:t xml:space="preserve">The introduction of a 'fair use' exception, or new 'fair dealing' exception, in the </w:t>
      </w:r>
      <w:r w:rsidRPr="000D09B8">
        <w:rPr>
          <w:i/>
        </w:rPr>
        <w:t>Copyright Act 1968</w:t>
      </w:r>
      <w:r>
        <w:t xml:space="preserve"> (Cth).</w:t>
      </w:r>
    </w:p>
    <w:p w:rsidR="003D4131" w:rsidRDefault="003D4131" w:rsidP="003D4131">
      <w:pPr>
        <w:spacing w:before="0" w:after="0"/>
        <w:jc w:val="both"/>
      </w:pPr>
    </w:p>
    <w:p w:rsidR="002402F1" w:rsidRDefault="002402F1" w:rsidP="002402F1">
      <w:pPr>
        <w:spacing w:before="0" w:after="0"/>
        <w:jc w:val="both"/>
      </w:pPr>
      <w:r>
        <w:t xml:space="preserve">The Commission notes that an </w:t>
      </w:r>
      <w:r w:rsidR="00DB6F48">
        <w:t xml:space="preserve">extensive discussion about the </w:t>
      </w:r>
      <w:r>
        <w:t xml:space="preserve">introduction of a "flexible fair </w:t>
      </w:r>
      <w:r w:rsidR="00DB6F48">
        <w:t xml:space="preserve">use exception" and "a new fair </w:t>
      </w:r>
      <w:r>
        <w:t>dealing exception" were extensively co</w:t>
      </w:r>
      <w:r w:rsidR="00DB6F48">
        <w:t xml:space="preserve">nsidered in the Australian Law </w:t>
      </w:r>
      <w:r>
        <w:t>Reform Commission's 2013 report, Copyright and the Digital Economy.</w:t>
      </w:r>
    </w:p>
    <w:p w:rsidR="002402F1" w:rsidRDefault="002402F1" w:rsidP="002402F1">
      <w:pPr>
        <w:spacing w:before="0" w:after="0"/>
        <w:jc w:val="both"/>
      </w:pPr>
    </w:p>
    <w:p w:rsidR="002402F1" w:rsidRDefault="002402F1" w:rsidP="002402F1">
      <w:pPr>
        <w:spacing w:before="0" w:after="0"/>
        <w:jc w:val="both"/>
      </w:pPr>
      <w:r>
        <w:t>I hope this submission assists in your consideration of the Bill.</w:t>
      </w:r>
    </w:p>
    <w:p w:rsidR="00031A24" w:rsidRDefault="00031A24" w:rsidP="002402F1">
      <w:pPr>
        <w:spacing w:before="0" w:after="0"/>
        <w:jc w:val="both"/>
      </w:pPr>
    </w:p>
    <w:p w:rsidR="00A4438B" w:rsidRDefault="006E2FE7" w:rsidP="00D06827">
      <w:pPr>
        <w:keepNext/>
        <w:spacing w:before="0" w:after="0"/>
        <w:jc w:val="both"/>
      </w:pPr>
      <w:r>
        <w:t>Yours sincerely</w:t>
      </w:r>
      <w:r w:rsidR="00DB6F48">
        <w:t>,</w:t>
      </w:r>
    </w:p>
    <w:p w:rsidR="00D06827" w:rsidRDefault="00704CF2" w:rsidP="00D06827">
      <w:pPr>
        <w:keepNext/>
        <w:spacing w:before="0" w:after="0"/>
        <w:jc w:val="both"/>
      </w:pPr>
      <w:r>
        <w:rPr>
          <w:noProof/>
        </w:rPr>
        <w:drawing>
          <wp:inline distT="0" distB="0" distL="0" distR="0">
            <wp:extent cx="1647418" cy="74742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 WILSON ESI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192" cy="747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551" w:rsidRDefault="00DE4551" w:rsidP="002402F1">
      <w:pPr>
        <w:pStyle w:val="AddressBlock"/>
        <w:spacing w:before="0"/>
        <w:jc w:val="both"/>
      </w:pPr>
      <w:bookmarkStart w:id="2" w:name="OLE_LINK1"/>
      <w:r w:rsidRPr="008D2DDC">
        <w:t>Tim Wilson</w:t>
      </w:r>
    </w:p>
    <w:p w:rsidR="00DE4551" w:rsidRPr="008D2DDC" w:rsidRDefault="00DE4551" w:rsidP="002402F1">
      <w:pPr>
        <w:pStyle w:val="AddressBlock"/>
        <w:spacing w:before="0"/>
        <w:jc w:val="both"/>
      </w:pPr>
      <w:r>
        <w:rPr>
          <w:b/>
        </w:rPr>
        <w:t>Human Rights C</w:t>
      </w:r>
      <w:r w:rsidRPr="008D2DDC">
        <w:rPr>
          <w:b/>
        </w:rPr>
        <w:t>ommissioner</w:t>
      </w:r>
    </w:p>
    <w:bookmarkEnd w:id="2"/>
    <w:p w:rsidR="00DE4551" w:rsidRDefault="00DE4551" w:rsidP="002402F1">
      <w:pPr>
        <w:pStyle w:val="Contactdetails"/>
        <w:spacing w:before="0" w:after="0" w:line="240" w:lineRule="auto"/>
        <w:jc w:val="both"/>
        <w:rPr>
          <w:rFonts w:ascii="Arial" w:hAnsi="Arial"/>
          <w:color w:val="000000"/>
          <w:sz w:val="24"/>
        </w:rPr>
      </w:pPr>
    </w:p>
    <w:p w:rsidR="00DE4551" w:rsidRDefault="00DE4551" w:rsidP="002402F1">
      <w:pPr>
        <w:pStyle w:val="Contactdetails"/>
        <w:spacing w:before="0" w:after="0" w:line="240" w:lineRule="auto"/>
        <w:jc w:val="both"/>
      </w:pPr>
      <w:r>
        <w:t>T +61 2 9284 9836</w:t>
      </w:r>
    </w:p>
    <w:p w:rsidR="00DE4551" w:rsidRDefault="00DE4551" w:rsidP="002402F1">
      <w:pPr>
        <w:pStyle w:val="Contactdetails"/>
        <w:spacing w:before="0" w:after="0" w:line="240" w:lineRule="auto"/>
        <w:jc w:val="both"/>
      </w:pPr>
      <w:r>
        <w:t>F +61 2 9284 9794</w:t>
      </w:r>
    </w:p>
    <w:p w:rsidR="00DE4551" w:rsidRDefault="00DE4551" w:rsidP="002402F1">
      <w:pPr>
        <w:pStyle w:val="Contactdetails"/>
        <w:spacing w:before="0" w:after="0" w:line="240" w:lineRule="auto"/>
        <w:jc w:val="both"/>
      </w:pPr>
      <w:r>
        <w:t xml:space="preserve">E </w:t>
      </w:r>
      <w:hyperlink r:id="rId11" w:history="1">
        <w:r w:rsidRPr="003E2400">
          <w:rPr>
            <w:rStyle w:val="Hyperlink"/>
          </w:rPr>
          <w:t>tim.wilson@humanrights.gov.au</w:t>
        </w:r>
      </w:hyperlink>
    </w:p>
    <w:p w:rsidR="00121A88" w:rsidRPr="005C2BA2" w:rsidRDefault="00121A88" w:rsidP="002402F1">
      <w:pPr>
        <w:pStyle w:val="AddressBlock"/>
        <w:spacing w:before="0"/>
        <w:jc w:val="both"/>
      </w:pPr>
    </w:p>
    <w:sectPr w:rsidR="00121A88" w:rsidRPr="005C2BA2" w:rsidSect="00857D28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 w:code="9"/>
      <w:pgMar w:top="1134" w:right="1418" w:bottom="1531" w:left="1418" w:header="907" w:footer="970" w:gutter="0"/>
      <w:paperSrc w:first="1282" w:other="1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2F1" w:rsidRDefault="002402F1" w:rsidP="00F14C6D">
      <w:r>
        <w:separator/>
      </w:r>
    </w:p>
  </w:endnote>
  <w:endnote w:type="continuationSeparator" w:id="0">
    <w:p w:rsidR="002402F1" w:rsidRDefault="002402F1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altName w:val="Helvetica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51" w:rsidRPr="0090165F" w:rsidRDefault="00DE4551" w:rsidP="00162A8D">
    <w:pPr>
      <w:pStyle w:val="Footer"/>
      <w:jc w:val="right"/>
    </w:pPr>
    <w:r w:rsidRPr="0090165F">
      <w:fldChar w:fldCharType="begin"/>
    </w:r>
    <w:r w:rsidRPr="0090165F">
      <w:instrText xml:space="preserve"> PAGE   \* MERGEFORMAT </w:instrText>
    </w:r>
    <w:r w:rsidRPr="0090165F">
      <w:fldChar w:fldCharType="separate"/>
    </w:r>
    <w:r w:rsidR="00C96E27">
      <w:rPr>
        <w:noProof/>
      </w:rPr>
      <w:t>2</w:t>
    </w:r>
    <w:r w:rsidRPr="0090165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</w:tblBorders>
      <w:tblLayout w:type="fixed"/>
      <w:tblLook w:val="00A0" w:firstRow="1" w:lastRow="0" w:firstColumn="1" w:lastColumn="0" w:noHBand="0" w:noVBand="0"/>
    </w:tblPr>
    <w:tblGrid>
      <w:gridCol w:w="1793"/>
      <w:gridCol w:w="2143"/>
      <w:gridCol w:w="1701"/>
      <w:gridCol w:w="2551"/>
      <w:gridCol w:w="1667"/>
    </w:tblGrid>
    <w:tr w:rsidR="00DE4551" w:rsidRPr="008D1634" w:rsidTr="00C87F1C">
      <w:tc>
        <w:tcPr>
          <w:tcW w:w="1793" w:type="dxa"/>
          <w:tcBorders>
            <w:top w:val="single" w:sz="2" w:space="0" w:color="808080"/>
            <w:left w:val="nil"/>
            <w:bottom w:val="nil"/>
            <w:right w:val="nil"/>
          </w:tcBorders>
        </w:tcPr>
        <w:p w:rsidR="00DE4551" w:rsidRPr="008D1634" w:rsidRDefault="00DE4551" w:rsidP="005B50D7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before="0" w:after="0" w:line="288" w:lineRule="auto"/>
            <w:ind w:right="17"/>
            <w:textAlignment w:val="center"/>
            <w:rPr>
              <w:rFonts w:cs="HelveticaNeue-Light"/>
              <w:sz w:val="16"/>
              <w:szCs w:val="16"/>
              <w:lang w:val="en-US" w:bidi="en-US"/>
            </w:rPr>
          </w:pPr>
        </w:p>
      </w:tc>
      <w:tc>
        <w:tcPr>
          <w:tcW w:w="2143" w:type="dxa"/>
          <w:tcBorders>
            <w:top w:val="single" w:sz="2" w:space="0" w:color="808080"/>
            <w:left w:val="nil"/>
            <w:bottom w:val="nil"/>
            <w:right w:val="nil"/>
          </w:tcBorders>
        </w:tcPr>
        <w:p w:rsidR="00DE4551" w:rsidRPr="008D1634" w:rsidRDefault="00DE4551" w:rsidP="005B50D7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before="0" w:after="0" w:line="288" w:lineRule="auto"/>
            <w:ind w:right="176"/>
            <w:jc w:val="both"/>
            <w:textAlignment w:val="center"/>
            <w:rPr>
              <w:rFonts w:cs="HelveticaNeue-Light"/>
              <w:sz w:val="16"/>
              <w:szCs w:val="16"/>
              <w:lang w:val="en-US" w:bidi="en-US"/>
            </w:rPr>
          </w:pPr>
        </w:p>
      </w:tc>
      <w:tc>
        <w:tcPr>
          <w:tcW w:w="1701" w:type="dxa"/>
          <w:tcBorders>
            <w:top w:val="single" w:sz="2" w:space="0" w:color="808080"/>
            <w:left w:val="nil"/>
            <w:bottom w:val="nil"/>
          </w:tcBorders>
        </w:tcPr>
        <w:p w:rsidR="00DE4551" w:rsidRPr="008D1634" w:rsidRDefault="00DE4551" w:rsidP="005B50D7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before="0" w:after="0" w:line="288" w:lineRule="auto"/>
            <w:ind w:right="34"/>
            <w:textAlignment w:val="center"/>
            <w:rPr>
              <w:rFonts w:cs="HelveticaNeue-Light"/>
              <w:sz w:val="16"/>
              <w:szCs w:val="16"/>
              <w:lang w:val="en-US" w:bidi="en-US"/>
            </w:rPr>
          </w:pPr>
        </w:p>
      </w:tc>
      <w:tc>
        <w:tcPr>
          <w:tcW w:w="2551" w:type="dxa"/>
          <w:tcBorders>
            <w:top w:val="single" w:sz="2" w:space="0" w:color="808080"/>
            <w:bottom w:val="nil"/>
          </w:tcBorders>
        </w:tcPr>
        <w:p w:rsidR="00DE4551" w:rsidRPr="008D1634" w:rsidRDefault="00DE4551" w:rsidP="005B50D7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before="0" w:after="0" w:line="288" w:lineRule="auto"/>
            <w:ind w:right="360"/>
            <w:textAlignment w:val="center"/>
            <w:rPr>
              <w:rFonts w:cs="HelveticaNeue-Light"/>
              <w:sz w:val="16"/>
              <w:szCs w:val="16"/>
              <w:lang w:val="en-US" w:bidi="en-US"/>
            </w:rPr>
          </w:pPr>
        </w:p>
      </w:tc>
      <w:tc>
        <w:tcPr>
          <w:tcW w:w="1667" w:type="dxa"/>
          <w:tcBorders>
            <w:top w:val="single" w:sz="2" w:space="0" w:color="808080"/>
            <w:bottom w:val="nil"/>
            <w:right w:val="nil"/>
          </w:tcBorders>
        </w:tcPr>
        <w:p w:rsidR="00DE4551" w:rsidRPr="008D1634" w:rsidRDefault="00DE4551" w:rsidP="005B50D7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before="0" w:after="0" w:line="288" w:lineRule="auto"/>
            <w:ind w:right="360"/>
            <w:textAlignment w:val="center"/>
            <w:rPr>
              <w:rFonts w:cs="HelveticaNeue-Light"/>
              <w:sz w:val="16"/>
              <w:lang w:val="en-US"/>
            </w:rPr>
          </w:pPr>
        </w:p>
      </w:tc>
    </w:tr>
  </w:tbl>
  <w:p w:rsidR="00DE4551" w:rsidRPr="001B25B3" w:rsidRDefault="00DE4551" w:rsidP="002D0C4F">
    <w:pPr>
      <w:pStyle w:val="Footer"/>
      <w:spacing w:befor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2F1" w:rsidRDefault="002402F1" w:rsidP="00F14C6D">
      <w:r>
        <w:separator/>
      </w:r>
    </w:p>
  </w:footnote>
  <w:footnote w:type="continuationSeparator" w:id="0">
    <w:p w:rsidR="002402F1" w:rsidRDefault="002402F1" w:rsidP="00F14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51" w:rsidRDefault="00DE4551" w:rsidP="00C71D32">
    <w:pPr>
      <w:pStyle w:val="Header"/>
      <w:spacing w:before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48" w:type="dxa"/>
      <w:tblLayout w:type="fixed"/>
      <w:tblLook w:val="00A0" w:firstRow="1" w:lastRow="0" w:firstColumn="1" w:lastColumn="0" w:noHBand="0" w:noVBand="0"/>
    </w:tblPr>
    <w:tblGrid>
      <w:gridCol w:w="1508"/>
      <w:gridCol w:w="3040"/>
      <w:gridCol w:w="4800"/>
    </w:tblGrid>
    <w:tr w:rsidR="00DE4551" w:rsidRPr="00F67D3F" w:rsidTr="00006270">
      <w:trPr>
        <w:trHeight w:val="1603"/>
      </w:trPr>
      <w:tc>
        <w:tcPr>
          <w:tcW w:w="1508" w:type="dxa"/>
        </w:tcPr>
        <w:p w:rsidR="00DE4551" w:rsidRPr="008D1634" w:rsidRDefault="00DE4551" w:rsidP="00331013">
          <w:pPr>
            <w:pStyle w:val="Header"/>
            <w:tabs>
              <w:tab w:val="left" w:pos="4686"/>
              <w:tab w:val="left" w:pos="7088"/>
              <w:tab w:val="left" w:pos="7242"/>
            </w:tabs>
            <w:jc w:val="center"/>
            <w:rPr>
              <w:rFonts w:cs="ArialMT"/>
              <w:b/>
              <w:color w:val="000000"/>
              <w:spacing w:val="-20"/>
              <w:sz w:val="32"/>
              <w:lang w:val="en-US" w:eastAsia="en-US" w:bidi="en-US"/>
            </w:rPr>
          </w:pPr>
        </w:p>
      </w:tc>
      <w:tc>
        <w:tcPr>
          <w:tcW w:w="3040" w:type="dxa"/>
          <w:vAlign w:val="center"/>
        </w:tcPr>
        <w:p w:rsidR="00DE4551" w:rsidRPr="008D1634" w:rsidRDefault="00DE4551" w:rsidP="00331013">
          <w:pPr>
            <w:spacing w:before="0" w:after="0" w:line="210" w:lineRule="exact"/>
            <w:rPr>
              <w:rFonts w:cs="ArialMT"/>
              <w:i/>
              <w:color w:val="808080"/>
              <w:sz w:val="17"/>
              <w:lang w:val="en-US" w:eastAsia="en-US" w:bidi="en-US"/>
            </w:rPr>
          </w:pPr>
        </w:p>
      </w:tc>
      <w:tc>
        <w:tcPr>
          <w:tcW w:w="4800" w:type="dxa"/>
        </w:tcPr>
        <w:p w:rsidR="00DE4551" w:rsidRDefault="00DE4551" w:rsidP="00085811">
          <w:pPr>
            <w:pStyle w:val="LogoType"/>
            <w:pBdr>
              <w:bottom w:val="none" w:sz="0" w:space="0" w:color="auto"/>
            </w:pBdr>
            <w:spacing w:before="0" w:after="0" w:line="240" w:lineRule="auto"/>
            <w:jc w:val="right"/>
            <w:rPr>
              <w:color w:val="646464"/>
              <w:spacing w:val="0"/>
              <w:kern w:val="144"/>
              <w:sz w:val="24"/>
              <w:lang w:val="en-US" w:eastAsia="en-US" w:bidi="en-US"/>
            </w:rPr>
          </w:pPr>
        </w:p>
        <w:p w:rsidR="00DE4551" w:rsidRDefault="00DE4551" w:rsidP="00085811">
          <w:pPr>
            <w:pStyle w:val="LogoType"/>
            <w:pBdr>
              <w:bottom w:val="none" w:sz="0" w:space="0" w:color="auto"/>
            </w:pBdr>
            <w:spacing w:before="0" w:after="0" w:line="240" w:lineRule="auto"/>
            <w:jc w:val="right"/>
            <w:rPr>
              <w:color w:val="646464"/>
              <w:spacing w:val="0"/>
              <w:kern w:val="144"/>
              <w:sz w:val="24"/>
              <w:lang w:val="en-US" w:eastAsia="en-US" w:bidi="en-US"/>
            </w:rPr>
          </w:pPr>
        </w:p>
        <w:p w:rsidR="00DE4551" w:rsidRDefault="00DE4551" w:rsidP="00195749">
          <w:pPr>
            <w:pStyle w:val="LogoType"/>
            <w:pBdr>
              <w:bottom w:val="none" w:sz="0" w:space="0" w:color="auto"/>
            </w:pBdr>
            <w:spacing w:before="0" w:after="0" w:line="240" w:lineRule="auto"/>
            <w:jc w:val="right"/>
            <w:rPr>
              <w:color w:val="646464"/>
              <w:spacing w:val="0"/>
              <w:kern w:val="144"/>
              <w:sz w:val="24"/>
              <w:lang w:val="en-US" w:eastAsia="en-US" w:bidi="en-US"/>
            </w:rPr>
          </w:pPr>
          <w:r>
            <w:rPr>
              <w:color w:val="646464"/>
              <w:spacing w:val="0"/>
              <w:kern w:val="144"/>
              <w:sz w:val="24"/>
              <w:lang w:val="en-US" w:eastAsia="en-US" w:bidi="en-US"/>
            </w:rPr>
            <w:t>Human Rights Commissioner</w:t>
          </w:r>
        </w:p>
        <w:p w:rsidR="00DE4551" w:rsidRPr="00F67D3F" w:rsidRDefault="00D139D9" w:rsidP="00195749">
          <w:pPr>
            <w:pStyle w:val="LogoType"/>
            <w:pBdr>
              <w:bottom w:val="none" w:sz="0" w:space="0" w:color="auto"/>
            </w:pBdr>
            <w:spacing w:before="120" w:after="80" w:line="240" w:lineRule="auto"/>
            <w:jc w:val="right"/>
            <w:rPr>
              <w:spacing w:val="0"/>
              <w:kern w:val="144"/>
              <w:sz w:val="24"/>
              <w:lang w:val="en-US" w:eastAsia="en-US" w:bidi="en-US"/>
            </w:rPr>
          </w:pPr>
          <w:r>
            <w:rPr>
              <w:noProof/>
              <w:color w:val="auto"/>
              <w:spacing w:val="0"/>
              <w:kern w:val="144"/>
              <w:sz w:val="24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751840</wp:posOffset>
                    </wp:positionH>
                    <wp:positionV relativeFrom="paragraph">
                      <wp:posOffset>37465</wp:posOffset>
                    </wp:positionV>
                    <wp:extent cx="2152015" cy="0"/>
                    <wp:effectExtent l="8890" t="8890" r="10795" b="10160"/>
                    <wp:wrapNone/>
                    <wp:docPr id="1" name="Lin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201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pt,2.95pt" to="228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" strokecolor="#5f5f5f"/>
                </w:pict>
              </mc:Fallback>
            </mc:AlternateContent>
          </w:r>
          <w:r w:rsidR="00DE4551">
            <w:rPr>
              <w:color w:val="646464"/>
              <w:spacing w:val="0"/>
              <w:kern w:val="144"/>
              <w:sz w:val="24"/>
              <w:lang w:val="en-US" w:eastAsia="en-US" w:bidi="en-US"/>
            </w:rPr>
            <w:t>Tim Wilson</w:t>
          </w:r>
        </w:p>
      </w:tc>
    </w:tr>
  </w:tbl>
  <w:p w:rsidR="00DE4551" w:rsidRPr="006E2FE7" w:rsidRDefault="00DE4551">
    <w:pPr>
      <w:pStyle w:val="Header"/>
      <w:rPr>
        <w:color w:val="73737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9C29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D00DF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6C009348"/>
    <w:lvl w:ilvl="0">
      <w:numFmt w:val="decimal"/>
      <w:pStyle w:val="Dash"/>
      <w:lvlText w:val="*"/>
      <w:lvlJc w:val="left"/>
    </w:lvl>
  </w:abstractNum>
  <w:abstractNum w:abstractNumId="12">
    <w:nsid w:val="1190064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54D5751"/>
    <w:multiLevelType w:val="hybridMultilevel"/>
    <w:tmpl w:val="B3A8EA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24A57B62"/>
    <w:multiLevelType w:val="hybridMultilevel"/>
    <w:tmpl w:val="7526B2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91DF5"/>
    <w:multiLevelType w:val="hybridMultilevel"/>
    <w:tmpl w:val="9AECE68E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>
    <w:nsid w:val="282130BC"/>
    <w:multiLevelType w:val="hybridMultilevel"/>
    <w:tmpl w:val="2848B230"/>
    <w:lvl w:ilvl="0" w:tplc="82BE52F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7970A2"/>
    <w:multiLevelType w:val="hybridMultilevel"/>
    <w:tmpl w:val="485EA6EA"/>
    <w:lvl w:ilvl="0" w:tplc="C3DC8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7E0111"/>
    <w:multiLevelType w:val="hybridMultilevel"/>
    <w:tmpl w:val="481CC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640CC9"/>
    <w:multiLevelType w:val="hybridMultilevel"/>
    <w:tmpl w:val="367460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9FF7A73"/>
    <w:multiLevelType w:val="multilevel"/>
    <w:tmpl w:val="75C8E294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24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9D7D54"/>
    <w:multiLevelType w:val="hybridMultilevel"/>
    <w:tmpl w:val="065E8C4E"/>
    <w:lvl w:ilvl="0" w:tplc="4BF216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0D4F1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B44264"/>
    <w:multiLevelType w:val="hybridMultilevel"/>
    <w:tmpl w:val="32065B8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05710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729C1E5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77DD1B4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8"/>
  </w:num>
  <w:num w:numId="2">
    <w:abstractNumId w:val="23"/>
  </w:num>
  <w:num w:numId="3">
    <w:abstractNumId w:val="26"/>
  </w:num>
  <w:num w:numId="4">
    <w:abstractNumId w:val="1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2"/>
  </w:num>
  <w:num w:numId="14">
    <w:abstractNumId w:val="1"/>
  </w:num>
  <w:num w:numId="15">
    <w:abstractNumId w:val="4"/>
  </w:num>
  <w:num w:numId="16">
    <w:abstractNumId w:val="3"/>
  </w:num>
  <w:num w:numId="17">
    <w:abstractNumId w:val="24"/>
  </w:num>
  <w:num w:numId="18">
    <w:abstractNumId w:val="22"/>
  </w:num>
  <w:num w:numId="19">
    <w:abstractNumId w:val="14"/>
  </w:num>
  <w:num w:numId="20">
    <w:abstractNumId w:val="0"/>
  </w:num>
  <w:num w:numId="21">
    <w:abstractNumId w:val="11"/>
    <w:lvlOverride w:ilvl="0">
      <w:lvl w:ilvl="0">
        <w:start w:val="1"/>
        <w:numFmt w:val="bullet"/>
        <w:pStyle w:val="Dash"/>
        <w:lvlText w:val=""/>
        <w:legacy w:legacy="1" w:legacySpace="0" w:legacyIndent="397"/>
        <w:lvlJc w:val="left"/>
        <w:pPr>
          <w:ind w:left="681" w:hanging="397"/>
        </w:pPr>
        <w:rPr>
          <w:rFonts w:ascii="Symbol" w:hAnsi="Symbol" w:hint="default"/>
          <w:sz w:val="24"/>
        </w:rPr>
      </w:lvl>
    </w:lvlOverride>
  </w:num>
  <w:num w:numId="22">
    <w:abstractNumId w:val="30"/>
  </w:num>
  <w:num w:numId="23">
    <w:abstractNumId w:val="31"/>
  </w:num>
  <w:num w:numId="24">
    <w:abstractNumId w:val="32"/>
  </w:num>
  <w:num w:numId="25">
    <w:abstractNumId w:val="1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8"/>
  </w:num>
  <w:num w:numId="31">
    <w:abstractNumId w:val="16"/>
  </w:num>
  <w:num w:numId="32">
    <w:abstractNumId w:val="19"/>
  </w:num>
  <w:num w:numId="33">
    <w:abstractNumId w:val="21"/>
  </w:num>
  <w:num w:numId="34">
    <w:abstractNumId w:val="15"/>
  </w:num>
  <w:num w:numId="35">
    <w:abstractNumId w:val="13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81">
      <o:colormru v:ext="edit" colors="#5f5f5f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F1"/>
    <w:rsid w:val="00000871"/>
    <w:rsid w:val="00006270"/>
    <w:rsid w:val="00031A24"/>
    <w:rsid w:val="00041650"/>
    <w:rsid w:val="000579B1"/>
    <w:rsid w:val="000642C5"/>
    <w:rsid w:val="00074B3E"/>
    <w:rsid w:val="00075A4D"/>
    <w:rsid w:val="00085811"/>
    <w:rsid w:val="000B0A5D"/>
    <w:rsid w:val="000B53EE"/>
    <w:rsid w:val="000D09B8"/>
    <w:rsid w:val="000D5874"/>
    <w:rsid w:val="000E1B95"/>
    <w:rsid w:val="000E38FA"/>
    <w:rsid w:val="00121A88"/>
    <w:rsid w:val="00123209"/>
    <w:rsid w:val="001373D3"/>
    <w:rsid w:val="00162A8D"/>
    <w:rsid w:val="001662B6"/>
    <w:rsid w:val="00166F19"/>
    <w:rsid w:val="00176220"/>
    <w:rsid w:val="00181378"/>
    <w:rsid w:val="00195749"/>
    <w:rsid w:val="001B0353"/>
    <w:rsid w:val="001B25B3"/>
    <w:rsid w:val="001C7AA6"/>
    <w:rsid w:val="001E195B"/>
    <w:rsid w:val="001F2BBB"/>
    <w:rsid w:val="00201544"/>
    <w:rsid w:val="00201EFE"/>
    <w:rsid w:val="00214DBF"/>
    <w:rsid w:val="00215015"/>
    <w:rsid w:val="002402F1"/>
    <w:rsid w:val="0024557E"/>
    <w:rsid w:val="002561B0"/>
    <w:rsid w:val="002932DC"/>
    <w:rsid w:val="002B6CE0"/>
    <w:rsid w:val="002D0C4F"/>
    <w:rsid w:val="002D54E2"/>
    <w:rsid w:val="00310ED4"/>
    <w:rsid w:val="0031492A"/>
    <w:rsid w:val="00316C1A"/>
    <w:rsid w:val="00331013"/>
    <w:rsid w:val="003341CA"/>
    <w:rsid w:val="00361E22"/>
    <w:rsid w:val="003731B3"/>
    <w:rsid w:val="003C3D19"/>
    <w:rsid w:val="003D40BA"/>
    <w:rsid w:val="003D4131"/>
    <w:rsid w:val="003E2400"/>
    <w:rsid w:val="003E7C58"/>
    <w:rsid w:val="00436828"/>
    <w:rsid w:val="00443F1F"/>
    <w:rsid w:val="0044690C"/>
    <w:rsid w:val="00450B44"/>
    <w:rsid w:val="004510B9"/>
    <w:rsid w:val="00461AD3"/>
    <w:rsid w:val="004710A2"/>
    <w:rsid w:val="00473522"/>
    <w:rsid w:val="00474063"/>
    <w:rsid w:val="00484F87"/>
    <w:rsid w:val="004B3F64"/>
    <w:rsid w:val="004D6BC5"/>
    <w:rsid w:val="004E54C3"/>
    <w:rsid w:val="004E635E"/>
    <w:rsid w:val="00507E93"/>
    <w:rsid w:val="00513540"/>
    <w:rsid w:val="00534946"/>
    <w:rsid w:val="005458ED"/>
    <w:rsid w:val="005728E4"/>
    <w:rsid w:val="0057396F"/>
    <w:rsid w:val="005747B5"/>
    <w:rsid w:val="005B50D7"/>
    <w:rsid w:val="005D1F34"/>
    <w:rsid w:val="005F36BE"/>
    <w:rsid w:val="005F55E8"/>
    <w:rsid w:val="005F7015"/>
    <w:rsid w:val="0061324D"/>
    <w:rsid w:val="0062443C"/>
    <w:rsid w:val="00666AE9"/>
    <w:rsid w:val="00680924"/>
    <w:rsid w:val="00690436"/>
    <w:rsid w:val="006A6BB3"/>
    <w:rsid w:val="006B2544"/>
    <w:rsid w:val="006C6741"/>
    <w:rsid w:val="006D5EE5"/>
    <w:rsid w:val="006E2FE7"/>
    <w:rsid w:val="006F1E65"/>
    <w:rsid w:val="006F7915"/>
    <w:rsid w:val="00704CF2"/>
    <w:rsid w:val="00740E26"/>
    <w:rsid w:val="007606CC"/>
    <w:rsid w:val="00770DCB"/>
    <w:rsid w:val="00775485"/>
    <w:rsid w:val="007B45BF"/>
    <w:rsid w:val="007B7B7A"/>
    <w:rsid w:val="00805A6C"/>
    <w:rsid w:val="00815463"/>
    <w:rsid w:val="00832124"/>
    <w:rsid w:val="00836722"/>
    <w:rsid w:val="00857D28"/>
    <w:rsid w:val="00866A83"/>
    <w:rsid w:val="008724DE"/>
    <w:rsid w:val="008A66C0"/>
    <w:rsid w:val="008B3662"/>
    <w:rsid w:val="008B4C13"/>
    <w:rsid w:val="008D6140"/>
    <w:rsid w:val="008E3D60"/>
    <w:rsid w:val="008E675D"/>
    <w:rsid w:val="0090165F"/>
    <w:rsid w:val="00966C2F"/>
    <w:rsid w:val="00982DB5"/>
    <w:rsid w:val="009A1736"/>
    <w:rsid w:val="009A2029"/>
    <w:rsid w:val="009B03DA"/>
    <w:rsid w:val="009E453E"/>
    <w:rsid w:val="00A0406E"/>
    <w:rsid w:val="00A32F15"/>
    <w:rsid w:val="00A41355"/>
    <w:rsid w:val="00A43B92"/>
    <w:rsid w:val="00A4438B"/>
    <w:rsid w:val="00A5443C"/>
    <w:rsid w:val="00A6179E"/>
    <w:rsid w:val="00A85550"/>
    <w:rsid w:val="00A9225B"/>
    <w:rsid w:val="00A92D97"/>
    <w:rsid w:val="00AC3211"/>
    <w:rsid w:val="00AD2F2C"/>
    <w:rsid w:val="00B0666A"/>
    <w:rsid w:val="00B10447"/>
    <w:rsid w:val="00B11FD1"/>
    <w:rsid w:val="00B15F40"/>
    <w:rsid w:val="00B277E0"/>
    <w:rsid w:val="00B4010E"/>
    <w:rsid w:val="00B53A65"/>
    <w:rsid w:val="00B75F0D"/>
    <w:rsid w:val="00BA262D"/>
    <w:rsid w:val="00BC7AE1"/>
    <w:rsid w:val="00BD400C"/>
    <w:rsid w:val="00BF1C1B"/>
    <w:rsid w:val="00C1036A"/>
    <w:rsid w:val="00C25BDA"/>
    <w:rsid w:val="00C3663E"/>
    <w:rsid w:val="00C46675"/>
    <w:rsid w:val="00C52035"/>
    <w:rsid w:val="00C71D32"/>
    <w:rsid w:val="00C83EC7"/>
    <w:rsid w:val="00C87F1C"/>
    <w:rsid w:val="00C96E27"/>
    <w:rsid w:val="00CA0D78"/>
    <w:rsid w:val="00D06827"/>
    <w:rsid w:val="00D1390E"/>
    <w:rsid w:val="00D139D9"/>
    <w:rsid w:val="00D41C6C"/>
    <w:rsid w:val="00D44CCE"/>
    <w:rsid w:val="00D65207"/>
    <w:rsid w:val="00D65C76"/>
    <w:rsid w:val="00DA2F73"/>
    <w:rsid w:val="00DB6F48"/>
    <w:rsid w:val="00DC462F"/>
    <w:rsid w:val="00DE047A"/>
    <w:rsid w:val="00DE4551"/>
    <w:rsid w:val="00E05AE7"/>
    <w:rsid w:val="00E14A38"/>
    <w:rsid w:val="00E24FA3"/>
    <w:rsid w:val="00E36B41"/>
    <w:rsid w:val="00E45954"/>
    <w:rsid w:val="00E57F61"/>
    <w:rsid w:val="00EC4829"/>
    <w:rsid w:val="00EC49CF"/>
    <w:rsid w:val="00EE50BC"/>
    <w:rsid w:val="00EF1261"/>
    <w:rsid w:val="00F10176"/>
    <w:rsid w:val="00F14C6D"/>
    <w:rsid w:val="00F67D3F"/>
    <w:rsid w:val="00F94FCD"/>
    <w:rsid w:val="00FA6159"/>
    <w:rsid w:val="00FB625D"/>
    <w:rsid w:val="00FC3F0C"/>
    <w:rsid w:val="00FD12CB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5f5f5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4510B9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paragraph" w:styleId="BalloonText">
    <w:name w:val="Balloon Text"/>
    <w:basedOn w:val="Normal"/>
    <w:semiHidden/>
    <w:locked/>
    <w:rsid w:val="006E2F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4131"/>
    <w:pPr>
      <w:ind w:left="720"/>
      <w:contextualSpacing/>
    </w:pPr>
  </w:style>
  <w:style w:type="character" w:styleId="CommentReference">
    <w:name w:val="annotation reference"/>
    <w:basedOn w:val="DefaultParagraphFont"/>
    <w:locked/>
    <w:rsid w:val="009A1736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9A17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A173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locked/>
    <w:rsid w:val="009A17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A1736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4510B9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paragraph" w:styleId="BalloonText">
    <w:name w:val="Balloon Text"/>
    <w:basedOn w:val="Normal"/>
    <w:semiHidden/>
    <w:locked/>
    <w:rsid w:val="006E2F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4131"/>
    <w:pPr>
      <w:ind w:left="720"/>
      <w:contextualSpacing/>
    </w:pPr>
  </w:style>
  <w:style w:type="character" w:styleId="CommentReference">
    <w:name w:val="annotation reference"/>
    <w:basedOn w:val="DefaultParagraphFont"/>
    <w:locked/>
    <w:rsid w:val="009A1736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9A17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A173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locked/>
    <w:rsid w:val="009A17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A173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im.wilson@humanrights.gov.a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legcon.sen@aph.gov.au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hare\applications\Templates\Commission\&#160;Tim%20Wilson%20-%20Plain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E68B4-C579-4C50-A690-BB69F4C0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 Tim Wilson - Plain Letterhead.dot</Template>
  <TotalTime>1</TotalTime>
  <Pages>2</Pages>
  <Words>527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 [Insert File Reference]</vt:lpstr>
    </vt:vector>
  </TitlesOfParts>
  <Company>Human Rights Commission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[Insert File Reference]</dc:title>
  <dc:creator>Simone Guirguis</dc:creator>
  <cp:lastModifiedBy>Simone Guirguis</cp:lastModifiedBy>
  <cp:revision>2</cp:revision>
  <cp:lastPrinted>2015-04-15T01:26:00Z</cp:lastPrinted>
  <dcterms:created xsi:type="dcterms:W3CDTF">2015-04-15T01:28:00Z</dcterms:created>
  <dcterms:modified xsi:type="dcterms:W3CDTF">2015-04-15T01:28:00Z</dcterms:modified>
</cp:coreProperties>
</file>