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6D787" w14:textId="77777777" w:rsidR="000C5B73" w:rsidRDefault="000C5B73" w:rsidP="002E0071">
      <w:pPr>
        <w:pStyle w:val="Title"/>
      </w:pPr>
      <w:bookmarkStart w:id="0" w:name="_GoBack"/>
    </w:p>
    <w:p w14:paraId="49B74AC9" w14:textId="77777777" w:rsidR="000C5B73" w:rsidRDefault="000C5B73" w:rsidP="002E0071">
      <w:pPr>
        <w:pStyle w:val="Title"/>
      </w:pPr>
    </w:p>
    <w:p w14:paraId="0EA6B13B" w14:textId="0B035AEE" w:rsidR="002E0071" w:rsidRPr="000C5B73" w:rsidRDefault="000C5B73" w:rsidP="002E0071">
      <w:pPr>
        <w:pStyle w:val="Title"/>
        <w:rPr>
          <w:color w:val="1F497D" w:themeColor="text2"/>
          <w:sz w:val="36"/>
          <w:szCs w:val="36"/>
        </w:rPr>
      </w:pPr>
      <w:r w:rsidRPr="000C5B73">
        <w:rPr>
          <w:color w:val="1F497D" w:themeColor="text2"/>
          <w:sz w:val="36"/>
          <w:szCs w:val="36"/>
        </w:rPr>
        <w:t>Factsheet:</w:t>
      </w:r>
      <w:r w:rsidR="002E0071" w:rsidRPr="000C5B73">
        <w:rPr>
          <w:color w:val="1F497D" w:themeColor="text2"/>
          <w:sz w:val="36"/>
          <w:szCs w:val="36"/>
        </w:rPr>
        <w:t xml:space="preserve"> Freedom of association and peaceful assembly</w:t>
      </w:r>
    </w:p>
    <w:p w14:paraId="6359EE44" w14:textId="77777777" w:rsidR="000C5B73" w:rsidRPr="00B249A2" w:rsidRDefault="000C5B73" w:rsidP="000C5B73">
      <w:pPr>
        <w:rPr>
          <w:b/>
          <w:color w:val="1F497D" w:themeColor="text2"/>
          <w:sz w:val="28"/>
        </w:rPr>
      </w:pPr>
      <w:r w:rsidRPr="00B249A2">
        <w:rPr>
          <w:b/>
          <w:color w:val="1F497D" w:themeColor="text2"/>
          <w:sz w:val="28"/>
        </w:rPr>
        <w:t>Background Information</w:t>
      </w:r>
    </w:p>
    <w:p w14:paraId="482ED33C" w14:textId="77777777" w:rsidR="00211A6C" w:rsidRDefault="00763BE6" w:rsidP="00140818">
      <w:r>
        <w:t xml:space="preserve">The </w:t>
      </w:r>
      <w:r w:rsidR="00B0390C">
        <w:t xml:space="preserve">interrelated </w:t>
      </w:r>
      <w:r>
        <w:t>rights of freedom of associat</w:t>
      </w:r>
      <w:r w:rsidR="00C03BAF">
        <w:t>ion and peaceful assembly</w:t>
      </w:r>
      <w:r w:rsidR="00B0390C">
        <w:t xml:space="preserve"> </w:t>
      </w:r>
      <w:r w:rsidR="00C03BAF">
        <w:t>empower individuals to exercise other civil, cultural, econom</w:t>
      </w:r>
      <w:r w:rsidR="00211A6C">
        <w:t>ic, political and social rights</w:t>
      </w:r>
      <w:r w:rsidR="00B0390C">
        <w:t>.</w:t>
      </w:r>
    </w:p>
    <w:p w14:paraId="476A7F4F" w14:textId="08FF0511" w:rsidR="00916791" w:rsidRDefault="00916791" w:rsidP="00916791">
      <w:r>
        <w:t>Freedom of association</w:t>
      </w:r>
      <w:r w:rsidR="00EC3384">
        <w:t xml:space="preserve"> and peaceful assembly</w:t>
      </w:r>
      <w:r>
        <w:t xml:space="preserve"> </w:t>
      </w:r>
      <w:r w:rsidR="00010CB0">
        <w:t xml:space="preserve">are </w:t>
      </w:r>
      <w:r>
        <w:t xml:space="preserve">not generally protected in Australian law. </w:t>
      </w:r>
      <w:r w:rsidR="00207CB6">
        <w:t xml:space="preserve">Several </w:t>
      </w:r>
      <w:r>
        <w:t xml:space="preserve">Australian </w:t>
      </w:r>
      <w:r w:rsidR="00207CB6">
        <w:t>laws</w:t>
      </w:r>
      <w:r w:rsidR="00B0390C">
        <w:t xml:space="preserve"> </w:t>
      </w:r>
      <w:r>
        <w:t>limit</w:t>
      </w:r>
      <w:r w:rsidR="00B944C7">
        <w:t xml:space="preserve"> </w:t>
      </w:r>
      <w:r w:rsidR="00EC3384">
        <w:t>these freedoms</w:t>
      </w:r>
      <w:r w:rsidR="00B944C7">
        <w:t xml:space="preserve">. </w:t>
      </w:r>
      <w:r>
        <w:t xml:space="preserve">Freedom of association is protected in the employment context through the </w:t>
      </w:r>
      <w:r w:rsidRPr="002C655C">
        <w:rPr>
          <w:i/>
        </w:rPr>
        <w:t>Fair Work Act 2009</w:t>
      </w:r>
      <w:r>
        <w:rPr>
          <w:i/>
        </w:rPr>
        <w:t xml:space="preserve"> </w:t>
      </w:r>
      <w:r>
        <w:t>(</w:t>
      </w:r>
      <w:proofErr w:type="spellStart"/>
      <w:r>
        <w:t>Cth</w:t>
      </w:r>
      <w:proofErr w:type="spellEnd"/>
      <w:r>
        <w:t>) which protects the right of persons to join or not join an industrial association.</w:t>
      </w:r>
    </w:p>
    <w:p w14:paraId="5BA2E3B9" w14:textId="77777777" w:rsidR="002C655C" w:rsidRDefault="00916791" w:rsidP="002C655C">
      <w:r>
        <w:t>While limits on these freedoms are permissible, any limits must be lawful and necessary in a democratic society in the interests of national security or public safety, public order, the protection of public health or morals, or the protection of the rights and freedoms of others.</w:t>
      </w:r>
    </w:p>
    <w:p w14:paraId="13070AE0" w14:textId="77777777" w:rsidR="002E0071" w:rsidRPr="000C5B73" w:rsidRDefault="002E0071" w:rsidP="002E0071">
      <w:pPr>
        <w:rPr>
          <w:b/>
          <w:color w:val="1F497D" w:themeColor="text2"/>
          <w:sz w:val="28"/>
        </w:rPr>
      </w:pPr>
      <w:r w:rsidRPr="000C5B73">
        <w:rPr>
          <w:b/>
          <w:color w:val="1F497D" w:themeColor="text2"/>
          <w:sz w:val="28"/>
        </w:rPr>
        <w:t>Key Issue</w:t>
      </w:r>
    </w:p>
    <w:p w14:paraId="1038DE9D" w14:textId="77777777" w:rsidR="0049615D" w:rsidRDefault="00496695" w:rsidP="00EC3384">
      <w:pPr>
        <w:spacing w:before="0" w:after="0"/>
        <w:rPr>
          <w:rFonts w:eastAsia="MS Mincho"/>
        </w:rPr>
      </w:pPr>
      <w:r>
        <w:rPr>
          <w:rFonts w:eastAsia="MS Mincho"/>
        </w:rPr>
        <w:t xml:space="preserve">Jurisdictions in Australia </w:t>
      </w:r>
      <w:r w:rsidR="000817DC">
        <w:rPr>
          <w:rFonts w:eastAsia="MS Mincho"/>
        </w:rPr>
        <w:t xml:space="preserve">have recently enacted </w:t>
      </w:r>
      <w:r w:rsidR="009016A9">
        <w:rPr>
          <w:rFonts w:eastAsia="MS Mincho"/>
        </w:rPr>
        <w:t xml:space="preserve">‘anti-bikie’ </w:t>
      </w:r>
      <w:r w:rsidR="000817DC">
        <w:rPr>
          <w:rFonts w:eastAsia="MS Mincho"/>
        </w:rPr>
        <w:t xml:space="preserve">laws purporting to target organised crime conducted through motorcycle </w:t>
      </w:r>
      <w:r w:rsidR="006112D4">
        <w:rPr>
          <w:rFonts w:eastAsia="MS Mincho"/>
        </w:rPr>
        <w:t>gangs</w:t>
      </w:r>
      <w:r w:rsidR="000817DC">
        <w:rPr>
          <w:rFonts w:eastAsia="MS Mincho"/>
        </w:rPr>
        <w:t xml:space="preserve"> </w:t>
      </w:r>
      <w:r w:rsidR="006112D4">
        <w:rPr>
          <w:rFonts w:eastAsia="MS Mincho"/>
        </w:rPr>
        <w:t>that unjustifiably limit</w:t>
      </w:r>
      <w:r w:rsidR="000817DC">
        <w:rPr>
          <w:rFonts w:eastAsia="MS Mincho"/>
        </w:rPr>
        <w:t xml:space="preserve"> freedom of association.</w:t>
      </w:r>
      <w:r w:rsidR="00A60855">
        <w:rPr>
          <w:rFonts w:eastAsia="MS Mincho"/>
        </w:rPr>
        <w:t xml:space="preserve"> These include</w:t>
      </w:r>
      <w:r w:rsidR="00AD13E5">
        <w:rPr>
          <w:rFonts w:eastAsia="MS Mincho"/>
        </w:rPr>
        <w:t>:</w:t>
      </w:r>
    </w:p>
    <w:p w14:paraId="38D50351" w14:textId="77777777" w:rsidR="00EC3384" w:rsidRDefault="00EC3384" w:rsidP="00EC3384">
      <w:pPr>
        <w:spacing w:before="0" w:after="0"/>
        <w:rPr>
          <w:rFonts w:eastAsia="MS Mincho"/>
        </w:rPr>
      </w:pPr>
    </w:p>
    <w:p w14:paraId="2F9E872A" w14:textId="77777777" w:rsidR="00EC3384" w:rsidRDefault="00AD13E5" w:rsidP="004610DC">
      <w:pPr>
        <w:numPr>
          <w:ilvl w:val="0"/>
          <w:numId w:val="31"/>
        </w:numPr>
        <w:spacing w:before="0" w:after="0"/>
        <w:rPr>
          <w:rFonts w:cs="Arial"/>
        </w:rPr>
      </w:pPr>
      <w:r w:rsidRPr="00EC3384">
        <w:rPr>
          <w:rFonts w:cs="Arial"/>
        </w:rPr>
        <w:t xml:space="preserve">Anti-consorting laws, such as s 93X of the </w:t>
      </w:r>
      <w:r w:rsidR="00A60855" w:rsidRPr="00EC3384">
        <w:rPr>
          <w:rFonts w:cs="Arial"/>
          <w:i/>
        </w:rPr>
        <w:t>Crimes Act 1900</w:t>
      </w:r>
      <w:r w:rsidR="00A60855" w:rsidRPr="00EC3384">
        <w:rPr>
          <w:rFonts w:cs="Arial"/>
        </w:rPr>
        <w:t xml:space="preserve"> (NSW) </w:t>
      </w:r>
      <w:r w:rsidRPr="00EC3384">
        <w:rPr>
          <w:rFonts w:cs="Arial"/>
        </w:rPr>
        <w:t xml:space="preserve">which </w:t>
      </w:r>
      <w:r w:rsidR="008F44C6" w:rsidRPr="00EC3384">
        <w:rPr>
          <w:rFonts w:cs="Arial"/>
        </w:rPr>
        <w:t>criminalise the act of people associating with each other rather than their criminal activities.</w:t>
      </w:r>
    </w:p>
    <w:p w14:paraId="31554011" w14:textId="3A720F14" w:rsidR="00AD13E5" w:rsidRPr="00EC3384" w:rsidRDefault="00AD13E5" w:rsidP="00EC3384">
      <w:pPr>
        <w:numPr>
          <w:ilvl w:val="0"/>
          <w:numId w:val="31"/>
        </w:numPr>
        <w:spacing w:before="0" w:after="0"/>
        <w:rPr>
          <w:rFonts w:cs="Arial"/>
        </w:rPr>
      </w:pPr>
      <w:r w:rsidRPr="00EC3384">
        <w:rPr>
          <w:rFonts w:cs="Arial"/>
          <w:lang w:val="en-US"/>
        </w:rPr>
        <w:t>P</w:t>
      </w:r>
      <w:r w:rsidR="006F42ED" w:rsidRPr="00EC3384">
        <w:rPr>
          <w:rFonts w:cs="Arial"/>
          <w:lang w:val="en-US"/>
        </w:rPr>
        <w:t xml:space="preserve">rovisions of the </w:t>
      </w:r>
      <w:r w:rsidR="006F42ED" w:rsidRPr="00EC3384">
        <w:rPr>
          <w:rFonts w:cs="Arial"/>
          <w:i/>
          <w:lang w:val="en-US"/>
        </w:rPr>
        <w:t>Vicious Lawless Association Disestablishment Act</w:t>
      </w:r>
      <w:r w:rsidR="006F42ED" w:rsidRPr="00EC3384">
        <w:rPr>
          <w:rFonts w:cs="Arial"/>
          <w:lang w:val="en-US"/>
        </w:rPr>
        <w:t xml:space="preserve"> </w:t>
      </w:r>
      <w:r w:rsidR="006F42ED" w:rsidRPr="00EC3384">
        <w:rPr>
          <w:rFonts w:cs="Arial"/>
          <w:i/>
          <w:lang w:val="en-US"/>
        </w:rPr>
        <w:t>2013</w:t>
      </w:r>
      <w:r w:rsidR="006F42ED" w:rsidRPr="00EC3384">
        <w:rPr>
          <w:rFonts w:cs="Arial"/>
          <w:lang w:val="en-US"/>
        </w:rPr>
        <w:t xml:space="preserve"> (</w:t>
      </w:r>
      <w:proofErr w:type="spellStart"/>
      <w:r w:rsidR="006F42ED" w:rsidRPr="00EC3384">
        <w:rPr>
          <w:rFonts w:cs="Arial"/>
          <w:lang w:val="en-US"/>
        </w:rPr>
        <w:t>Qld</w:t>
      </w:r>
      <w:proofErr w:type="spellEnd"/>
      <w:r w:rsidR="006F42ED" w:rsidRPr="00EC3384">
        <w:rPr>
          <w:rFonts w:cs="Arial"/>
          <w:lang w:val="en-US"/>
        </w:rPr>
        <w:t xml:space="preserve">) </w:t>
      </w:r>
      <w:r w:rsidRPr="00EC3384">
        <w:rPr>
          <w:rFonts w:cs="Arial"/>
          <w:lang w:val="en-US"/>
        </w:rPr>
        <w:t xml:space="preserve">which require the imposition of </w:t>
      </w:r>
      <w:r w:rsidR="00F558D8" w:rsidRPr="00EC3384">
        <w:rPr>
          <w:rFonts w:cs="Arial"/>
          <w:lang w:val="en-US"/>
        </w:rPr>
        <w:t>significant</w:t>
      </w:r>
      <w:r w:rsidRPr="00EC3384">
        <w:rPr>
          <w:rFonts w:cs="Arial"/>
          <w:lang w:val="en-US"/>
        </w:rPr>
        <w:t xml:space="preserve"> mandatory </w:t>
      </w:r>
      <w:r w:rsidR="00F558D8" w:rsidRPr="00EC3384">
        <w:rPr>
          <w:rFonts w:cs="Arial"/>
          <w:lang w:val="en-US"/>
        </w:rPr>
        <w:t>additional</w:t>
      </w:r>
      <w:r w:rsidRPr="00EC3384">
        <w:rPr>
          <w:rFonts w:cs="Arial"/>
          <w:lang w:val="en-US"/>
        </w:rPr>
        <w:t xml:space="preserve"> </w:t>
      </w:r>
      <w:r w:rsidR="007F683E" w:rsidRPr="00EC3384">
        <w:rPr>
          <w:rFonts w:cs="Arial"/>
          <w:lang w:val="en-US"/>
        </w:rPr>
        <w:t>imprisonment</w:t>
      </w:r>
      <w:r w:rsidRPr="00EC3384">
        <w:rPr>
          <w:rFonts w:cs="Arial"/>
          <w:lang w:val="en-US"/>
        </w:rPr>
        <w:t xml:space="preserve"> </w:t>
      </w:r>
      <w:r w:rsidR="00491411" w:rsidRPr="00EC3384">
        <w:rPr>
          <w:rFonts w:cs="Arial"/>
          <w:lang w:val="en-US"/>
        </w:rPr>
        <w:t xml:space="preserve">of 15 to 25 years </w:t>
      </w:r>
      <w:r w:rsidRPr="00EC3384">
        <w:rPr>
          <w:rFonts w:cs="Arial"/>
          <w:lang w:val="en-US"/>
        </w:rPr>
        <w:t xml:space="preserve">upon people </w:t>
      </w:r>
      <w:r w:rsidR="007F683E" w:rsidRPr="00EC3384">
        <w:rPr>
          <w:rFonts w:cs="Arial"/>
          <w:lang w:val="en-US"/>
        </w:rPr>
        <w:t xml:space="preserve">deemed ‘vicious lawless associates’ </w:t>
      </w:r>
      <w:r w:rsidRPr="00EC3384">
        <w:rPr>
          <w:rFonts w:cs="Arial"/>
          <w:lang w:val="en-US"/>
        </w:rPr>
        <w:t>who commit offences as part of their parti</w:t>
      </w:r>
      <w:r w:rsidR="007F683E" w:rsidRPr="00EC3384">
        <w:rPr>
          <w:rFonts w:cs="Arial"/>
          <w:lang w:val="en-US"/>
        </w:rPr>
        <w:t>cipation in a gang</w:t>
      </w:r>
      <w:r w:rsidR="00010CB0">
        <w:rPr>
          <w:rFonts w:cs="Arial"/>
          <w:lang w:val="en-US"/>
        </w:rPr>
        <w:t>.</w:t>
      </w:r>
    </w:p>
    <w:p w14:paraId="63079DFF" w14:textId="77777777" w:rsidR="00EC3384" w:rsidRDefault="00EC3384" w:rsidP="00EC3384">
      <w:pPr>
        <w:spacing w:before="0" w:after="0"/>
        <w:rPr>
          <w:rFonts w:cs="Arial"/>
        </w:rPr>
      </w:pPr>
    </w:p>
    <w:p w14:paraId="22D0D1F5" w14:textId="65A76F70" w:rsidR="00AD13E5" w:rsidRPr="00EC3384" w:rsidRDefault="009016A9" w:rsidP="00EC3384">
      <w:pPr>
        <w:spacing w:before="0" w:after="0"/>
        <w:rPr>
          <w:rFonts w:cs="Arial"/>
        </w:rPr>
      </w:pPr>
      <w:r w:rsidRPr="00EC3384">
        <w:rPr>
          <w:rFonts w:cs="Arial"/>
          <w:lang w:val="en-US"/>
        </w:rPr>
        <w:t xml:space="preserve">Some jurisdictions have enacted anti-protest laws that </w:t>
      </w:r>
      <w:r w:rsidR="00E92706" w:rsidRPr="00EC3384">
        <w:rPr>
          <w:rFonts w:cs="Arial"/>
          <w:lang w:val="en-US"/>
        </w:rPr>
        <w:t>unfairly limit</w:t>
      </w:r>
      <w:r w:rsidRPr="00EC3384">
        <w:rPr>
          <w:rFonts w:cs="Arial"/>
          <w:lang w:val="en-US"/>
        </w:rPr>
        <w:t xml:space="preserve"> freedom of peaceful </w:t>
      </w:r>
      <w:r w:rsidR="00E92706" w:rsidRPr="00EC3384">
        <w:rPr>
          <w:rFonts w:cs="Arial"/>
          <w:lang w:val="en-US"/>
        </w:rPr>
        <w:t xml:space="preserve">assembly and expression by </w:t>
      </w:r>
      <w:proofErr w:type="spellStart"/>
      <w:r w:rsidR="00E92706" w:rsidRPr="00EC3384">
        <w:rPr>
          <w:rFonts w:cs="Arial"/>
          <w:lang w:val="en-US"/>
        </w:rPr>
        <w:t>criminalising</w:t>
      </w:r>
      <w:proofErr w:type="spellEnd"/>
      <w:r w:rsidR="00E92706" w:rsidRPr="00EC3384">
        <w:rPr>
          <w:rFonts w:cs="Arial"/>
          <w:lang w:val="en-US"/>
        </w:rPr>
        <w:t xml:space="preserve"> certain </w:t>
      </w:r>
      <w:r w:rsidR="00010CB0">
        <w:rPr>
          <w:rFonts w:cs="Arial"/>
          <w:lang w:val="en-US"/>
        </w:rPr>
        <w:t>protest</w:t>
      </w:r>
      <w:r w:rsidR="00884955">
        <w:rPr>
          <w:rFonts w:cs="Arial"/>
          <w:lang w:val="en-US"/>
        </w:rPr>
        <w:t xml:space="preserve"> activities, such as: </w:t>
      </w:r>
    </w:p>
    <w:p w14:paraId="4DC9E050" w14:textId="24B86C85" w:rsidR="00E92706" w:rsidRPr="00EC3384" w:rsidRDefault="00EC3384" w:rsidP="00EC3384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>
        <w:rPr>
          <w:rFonts w:cs="Arial"/>
          <w:lang w:val="en-US"/>
        </w:rPr>
        <w:t>T</w:t>
      </w:r>
      <w:r w:rsidR="004E78DC" w:rsidRPr="00AD13E5">
        <w:rPr>
          <w:rFonts w:cs="Arial"/>
          <w:lang w:val="en-US"/>
        </w:rPr>
        <w:t xml:space="preserve">he </w:t>
      </w:r>
      <w:r w:rsidR="004E78DC" w:rsidRPr="00AD13E5">
        <w:rPr>
          <w:rFonts w:cs="Arial"/>
          <w:i/>
          <w:lang w:val="en-US"/>
        </w:rPr>
        <w:t>Workplaces (Protection from Protesters) Act 2014</w:t>
      </w:r>
      <w:r w:rsidR="004E78DC" w:rsidRPr="00AD13E5">
        <w:rPr>
          <w:rFonts w:cs="Arial"/>
          <w:lang w:val="en-US"/>
        </w:rPr>
        <w:t xml:space="preserve"> (</w:t>
      </w:r>
      <w:proofErr w:type="spellStart"/>
      <w:r w:rsidR="004E78DC" w:rsidRPr="00AD13E5">
        <w:rPr>
          <w:rFonts w:cs="Arial"/>
          <w:lang w:val="en-US"/>
        </w:rPr>
        <w:t>Tas</w:t>
      </w:r>
      <w:proofErr w:type="spellEnd"/>
      <w:r w:rsidR="004E78DC" w:rsidRPr="00AD13E5">
        <w:rPr>
          <w:rFonts w:cs="Arial"/>
          <w:lang w:val="en-US"/>
        </w:rPr>
        <w:t>)</w:t>
      </w:r>
      <w:r w:rsidR="009016A9">
        <w:rPr>
          <w:rFonts w:cs="Arial"/>
          <w:lang w:val="en-US"/>
        </w:rPr>
        <w:t xml:space="preserve"> – which </w:t>
      </w:r>
      <w:proofErr w:type="spellStart"/>
      <w:r w:rsidR="009016A9">
        <w:rPr>
          <w:rFonts w:cs="Arial"/>
          <w:lang w:val="en-US"/>
        </w:rPr>
        <w:t>criminalises</w:t>
      </w:r>
      <w:proofErr w:type="spellEnd"/>
      <w:r w:rsidR="009016A9">
        <w:rPr>
          <w:rFonts w:cs="Arial"/>
          <w:lang w:val="en-US"/>
        </w:rPr>
        <w:t xml:space="preserve"> legitimate forms of peaceful </w:t>
      </w:r>
      <w:r>
        <w:rPr>
          <w:rFonts w:cs="Arial"/>
          <w:lang w:val="en-US"/>
        </w:rPr>
        <w:t>protest</w:t>
      </w:r>
    </w:p>
    <w:p w14:paraId="54AF4D01" w14:textId="44B94B0E" w:rsidR="00E92706" w:rsidRPr="00EC3384" w:rsidRDefault="00AD13E5" w:rsidP="00EC3384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>
        <w:rPr>
          <w:rFonts w:cs="Arial"/>
          <w:lang w:val="en-US"/>
        </w:rPr>
        <w:t>The</w:t>
      </w:r>
      <w:r w:rsidR="004E78DC" w:rsidRPr="00AD13E5">
        <w:rPr>
          <w:rFonts w:cs="Arial"/>
          <w:lang w:val="en-US"/>
        </w:rPr>
        <w:t xml:space="preserve"> </w:t>
      </w:r>
      <w:r w:rsidR="004E78DC" w:rsidRPr="00AD13E5">
        <w:rPr>
          <w:rFonts w:cs="Arial"/>
          <w:i/>
          <w:lang w:val="en-US"/>
        </w:rPr>
        <w:t>Summary Offences and Sentencing Amendment Act 2014</w:t>
      </w:r>
      <w:r w:rsidR="009016A9">
        <w:rPr>
          <w:rFonts w:cs="Arial"/>
          <w:lang w:val="en-US"/>
        </w:rPr>
        <w:t xml:space="preserve"> (Vic) – a</w:t>
      </w:r>
      <w:r w:rsidR="00E92706">
        <w:rPr>
          <w:rFonts w:cs="Arial"/>
          <w:lang w:val="en-US"/>
        </w:rPr>
        <w:t>n</w:t>
      </w:r>
      <w:r w:rsidR="009016A9">
        <w:rPr>
          <w:rFonts w:cs="Arial"/>
          <w:lang w:val="en-US"/>
        </w:rPr>
        <w:t xml:space="preserve"> anti-protest law expanding police powers to move people on from public space</w:t>
      </w:r>
    </w:p>
    <w:p w14:paraId="5ABCED1D" w14:textId="36E98D0D" w:rsidR="00AD13E5" w:rsidRDefault="00EC3384" w:rsidP="00AD13E5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 w:rsidRPr="00EC3384">
        <w:rPr>
          <w:rFonts w:cs="Arial"/>
          <w:lang w:val="en-US"/>
        </w:rPr>
        <w:t xml:space="preserve">The </w:t>
      </w:r>
      <w:r w:rsidR="004E78DC" w:rsidRPr="00AD13E5">
        <w:rPr>
          <w:rFonts w:cs="Arial"/>
          <w:i/>
          <w:lang w:val="en-US"/>
        </w:rPr>
        <w:t xml:space="preserve">G20 (Safety and Security) </w:t>
      </w:r>
      <w:r>
        <w:rPr>
          <w:rFonts w:cs="Arial"/>
          <w:i/>
          <w:lang w:val="en-US"/>
        </w:rPr>
        <w:t>Act</w:t>
      </w:r>
      <w:r w:rsidR="004E78DC" w:rsidRPr="00AD13E5">
        <w:rPr>
          <w:rFonts w:cs="Arial"/>
          <w:i/>
          <w:lang w:val="en-US"/>
        </w:rPr>
        <w:t xml:space="preserve"> 2013</w:t>
      </w:r>
      <w:r w:rsidR="00E92706">
        <w:rPr>
          <w:rFonts w:cs="Arial"/>
          <w:lang w:val="en-US"/>
        </w:rPr>
        <w:t xml:space="preserve"> (</w:t>
      </w:r>
      <w:proofErr w:type="spellStart"/>
      <w:r w:rsidR="00E92706">
        <w:rPr>
          <w:rFonts w:cs="Arial"/>
          <w:lang w:val="en-US"/>
        </w:rPr>
        <w:t>Qld</w:t>
      </w:r>
      <w:proofErr w:type="spellEnd"/>
      <w:r w:rsidR="00E92706">
        <w:rPr>
          <w:rFonts w:cs="Arial"/>
          <w:lang w:val="en-US"/>
        </w:rPr>
        <w:t>) -</w:t>
      </w:r>
      <w:r w:rsidR="009016A9">
        <w:rPr>
          <w:rFonts w:cs="Arial"/>
          <w:lang w:val="en-US"/>
        </w:rPr>
        <w:t xml:space="preserve"> which granted police broad powers to control protesters during the 2014 Brisbane G20 summit.</w:t>
      </w:r>
    </w:p>
    <w:p w14:paraId="1FF89B2C" w14:textId="327BC0FC" w:rsidR="00A6626F" w:rsidRDefault="00FF6B45" w:rsidP="00A02F56">
      <w:pPr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Recommendation</w:t>
      </w:r>
    </w:p>
    <w:p w14:paraId="618A567F" w14:textId="1F65ADCB" w:rsidR="008A2AF7" w:rsidRPr="00F558D8" w:rsidRDefault="002E0071" w:rsidP="00A02F56">
      <w:pPr>
        <w:rPr>
          <w:b/>
          <w:i/>
        </w:rPr>
      </w:pPr>
      <w:r w:rsidRPr="00F558D8">
        <w:rPr>
          <w:b/>
          <w:i/>
        </w:rPr>
        <w:t>The Commission recommends that state and territory governments amend anti-protest and anti-bikie laws so they do not unduly restrict human rights.</w:t>
      </w:r>
      <w:bookmarkEnd w:id="0"/>
    </w:p>
    <w:sectPr w:rsidR="008A2AF7" w:rsidRPr="00F558D8" w:rsidSect="00FF6B45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56E39" w14:textId="77777777" w:rsidR="002E0071" w:rsidRDefault="002E0071" w:rsidP="00F14C6D">
      <w:r>
        <w:separator/>
      </w:r>
    </w:p>
  </w:endnote>
  <w:endnote w:type="continuationSeparator" w:id="0">
    <w:p w14:paraId="0587EB9A" w14:textId="77777777" w:rsidR="002E0071" w:rsidRDefault="002E0071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11D32" w14:textId="77777777" w:rsidR="00A6626F" w:rsidRPr="00A6626F" w:rsidRDefault="00A6626F" w:rsidP="00A6626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8309F" w14:textId="77777777" w:rsidR="002E0071" w:rsidRDefault="002E0071" w:rsidP="00F14C6D">
      <w:r>
        <w:separator/>
      </w:r>
    </w:p>
  </w:footnote>
  <w:footnote w:type="continuationSeparator" w:id="0">
    <w:p w14:paraId="7CA47B16" w14:textId="77777777" w:rsidR="002E0071" w:rsidRDefault="002E0071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771D" w14:textId="77777777" w:rsidR="000C5B73" w:rsidRDefault="000C5B73" w:rsidP="000C5B73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A43F" w14:textId="110C6009" w:rsidR="000C5B73" w:rsidRDefault="000C5B73" w:rsidP="000C5B73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anchor distT="0" distB="0" distL="114300" distR="114300" simplePos="0" relativeHeight="251659264" behindDoc="0" locked="0" layoutInCell="1" allowOverlap="1" wp14:anchorId="4FE19A3F" wp14:editId="1CE74C2A">
          <wp:simplePos x="0" y="0"/>
          <wp:positionH relativeFrom="margin">
            <wp:posOffset>0</wp:posOffset>
          </wp:positionH>
          <wp:positionV relativeFrom="page">
            <wp:posOffset>613410</wp:posOffset>
          </wp:positionV>
          <wp:extent cx="2362200" cy="800100"/>
          <wp:effectExtent l="0" t="0" r="0" b="0"/>
          <wp:wrapSquare wrapText="bothSides"/>
          <wp:docPr id="3" name="Picture 3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Universal Periodic Review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AE1F10"/>
    <w:multiLevelType w:val="hybridMultilevel"/>
    <w:tmpl w:val="D7B85A02"/>
    <w:lvl w:ilvl="0" w:tplc="7E6A360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A04FF5"/>
    <w:multiLevelType w:val="hybridMultilevel"/>
    <w:tmpl w:val="63981C62"/>
    <w:lvl w:ilvl="0" w:tplc="D30CEFA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4ECB"/>
    <w:multiLevelType w:val="hybridMultilevel"/>
    <w:tmpl w:val="A7BA01B0"/>
    <w:lvl w:ilvl="0" w:tplc="0C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1077E"/>
    <w:multiLevelType w:val="hybridMultilevel"/>
    <w:tmpl w:val="8986438A"/>
    <w:lvl w:ilvl="0" w:tplc="7F148F0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9337AA6"/>
    <w:multiLevelType w:val="hybridMultilevel"/>
    <w:tmpl w:val="10608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15"/>
  </w:num>
  <w:num w:numId="16">
    <w:abstractNumId w:val="10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19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5"/>
  </w:num>
  <w:num w:numId="28">
    <w:abstractNumId w:val="26"/>
  </w:num>
  <w:num w:numId="29">
    <w:abstractNumId w:val="24"/>
  </w:num>
  <w:num w:numId="30">
    <w:abstractNumId w:val="27"/>
  </w:num>
  <w:num w:numId="31">
    <w:abstractNumId w:val="13"/>
  </w:num>
  <w:num w:numId="3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71"/>
    <w:rsid w:val="00010CB0"/>
    <w:rsid w:val="0001254B"/>
    <w:rsid w:val="00013272"/>
    <w:rsid w:val="00021134"/>
    <w:rsid w:val="00022FC6"/>
    <w:rsid w:val="000540A0"/>
    <w:rsid w:val="000579B1"/>
    <w:rsid w:val="00074750"/>
    <w:rsid w:val="00074CD6"/>
    <w:rsid w:val="000817DC"/>
    <w:rsid w:val="000B0A5D"/>
    <w:rsid w:val="000C1745"/>
    <w:rsid w:val="000C5B73"/>
    <w:rsid w:val="001011C8"/>
    <w:rsid w:val="00132462"/>
    <w:rsid w:val="00140077"/>
    <w:rsid w:val="00140818"/>
    <w:rsid w:val="001523D8"/>
    <w:rsid w:val="001566D4"/>
    <w:rsid w:val="00162A8D"/>
    <w:rsid w:val="00184098"/>
    <w:rsid w:val="001867A2"/>
    <w:rsid w:val="00197E34"/>
    <w:rsid w:val="001A5D46"/>
    <w:rsid w:val="001B0353"/>
    <w:rsid w:val="001C139C"/>
    <w:rsid w:val="001C451B"/>
    <w:rsid w:val="001F2BBB"/>
    <w:rsid w:val="0020759E"/>
    <w:rsid w:val="00207CB6"/>
    <w:rsid w:val="00211A6C"/>
    <w:rsid w:val="00231ED1"/>
    <w:rsid w:val="0023303F"/>
    <w:rsid w:val="0024300C"/>
    <w:rsid w:val="0024557E"/>
    <w:rsid w:val="002702D9"/>
    <w:rsid w:val="002C655C"/>
    <w:rsid w:val="002E0071"/>
    <w:rsid w:val="003040CA"/>
    <w:rsid w:val="00310ED4"/>
    <w:rsid w:val="0031492A"/>
    <w:rsid w:val="00316504"/>
    <w:rsid w:val="00316C1A"/>
    <w:rsid w:val="00321AF0"/>
    <w:rsid w:val="00361AE6"/>
    <w:rsid w:val="00377C8F"/>
    <w:rsid w:val="003931C7"/>
    <w:rsid w:val="003955AE"/>
    <w:rsid w:val="00395B25"/>
    <w:rsid w:val="003A533F"/>
    <w:rsid w:val="003B18A7"/>
    <w:rsid w:val="003F0CEE"/>
    <w:rsid w:val="004215B3"/>
    <w:rsid w:val="00444303"/>
    <w:rsid w:val="004561BE"/>
    <w:rsid w:val="004610DC"/>
    <w:rsid w:val="00462D4C"/>
    <w:rsid w:val="00473DB9"/>
    <w:rsid w:val="00474063"/>
    <w:rsid w:val="00476EEA"/>
    <w:rsid w:val="00491411"/>
    <w:rsid w:val="00494D4B"/>
    <w:rsid w:val="0049615D"/>
    <w:rsid w:val="00496695"/>
    <w:rsid w:val="004A722D"/>
    <w:rsid w:val="004D3D06"/>
    <w:rsid w:val="004E142F"/>
    <w:rsid w:val="004E78DC"/>
    <w:rsid w:val="004F53EF"/>
    <w:rsid w:val="00503E04"/>
    <w:rsid w:val="00504B28"/>
    <w:rsid w:val="00513540"/>
    <w:rsid w:val="0051615E"/>
    <w:rsid w:val="00522CED"/>
    <w:rsid w:val="00554C04"/>
    <w:rsid w:val="005732DB"/>
    <w:rsid w:val="00596C59"/>
    <w:rsid w:val="005B7515"/>
    <w:rsid w:val="005C1654"/>
    <w:rsid w:val="005D04F4"/>
    <w:rsid w:val="005D1F34"/>
    <w:rsid w:val="005F5F45"/>
    <w:rsid w:val="006112D4"/>
    <w:rsid w:val="00690313"/>
    <w:rsid w:val="00696390"/>
    <w:rsid w:val="006A1D8E"/>
    <w:rsid w:val="006A6BB3"/>
    <w:rsid w:val="006B3680"/>
    <w:rsid w:val="006D5EE5"/>
    <w:rsid w:val="006E06ED"/>
    <w:rsid w:val="006E06F5"/>
    <w:rsid w:val="006F42ED"/>
    <w:rsid w:val="007039FC"/>
    <w:rsid w:val="00706FAB"/>
    <w:rsid w:val="00707793"/>
    <w:rsid w:val="007169BB"/>
    <w:rsid w:val="00725D5E"/>
    <w:rsid w:val="007548CA"/>
    <w:rsid w:val="00763BE6"/>
    <w:rsid w:val="00770DCB"/>
    <w:rsid w:val="00775485"/>
    <w:rsid w:val="007841E1"/>
    <w:rsid w:val="007D40BD"/>
    <w:rsid w:val="007E1866"/>
    <w:rsid w:val="007E6434"/>
    <w:rsid w:val="007F683E"/>
    <w:rsid w:val="00805CCB"/>
    <w:rsid w:val="00810ABF"/>
    <w:rsid w:val="008125EE"/>
    <w:rsid w:val="00815841"/>
    <w:rsid w:val="00823DC3"/>
    <w:rsid w:val="0083209A"/>
    <w:rsid w:val="00852335"/>
    <w:rsid w:val="008724DE"/>
    <w:rsid w:val="00884955"/>
    <w:rsid w:val="008A2AF7"/>
    <w:rsid w:val="008A3D57"/>
    <w:rsid w:val="008E3D60"/>
    <w:rsid w:val="008F44C6"/>
    <w:rsid w:val="008F78FF"/>
    <w:rsid w:val="0090165F"/>
    <w:rsid w:val="009016A9"/>
    <w:rsid w:val="00916791"/>
    <w:rsid w:val="00921CB7"/>
    <w:rsid w:val="00923C4F"/>
    <w:rsid w:val="009472C4"/>
    <w:rsid w:val="00950E88"/>
    <w:rsid w:val="00966C2F"/>
    <w:rsid w:val="009802F3"/>
    <w:rsid w:val="009A5753"/>
    <w:rsid w:val="009C5FB8"/>
    <w:rsid w:val="009E5BA0"/>
    <w:rsid w:val="009E7FC4"/>
    <w:rsid w:val="009F51D9"/>
    <w:rsid w:val="009F7AAC"/>
    <w:rsid w:val="00A02F56"/>
    <w:rsid w:val="00A0406E"/>
    <w:rsid w:val="00A07909"/>
    <w:rsid w:val="00A41355"/>
    <w:rsid w:val="00A41621"/>
    <w:rsid w:val="00A43B92"/>
    <w:rsid w:val="00A44720"/>
    <w:rsid w:val="00A60855"/>
    <w:rsid w:val="00A6179E"/>
    <w:rsid w:val="00A6626F"/>
    <w:rsid w:val="00A66F67"/>
    <w:rsid w:val="00AA1DB9"/>
    <w:rsid w:val="00AC17B6"/>
    <w:rsid w:val="00AC27AB"/>
    <w:rsid w:val="00AC6A34"/>
    <w:rsid w:val="00AD13E5"/>
    <w:rsid w:val="00AE76EB"/>
    <w:rsid w:val="00B0390C"/>
    <w:rsid w:val="00B22697"/>
    <w:rsid w:val="00B277E0"/>
    <w:rsid w:val="00B457E2"/>
    <w:rsid w:val="00B52E2D"/>
    <w:rsid w:val="00B76653"/>
    <w:rsid w:val="00B944C7"/>
    <w:rsid w:val="00BA1158"/>
    <w:rsid w:val="00BA262D"/>
    <w:rsid w:val="00BC79EB"/>
    <w:rsid w:val="00C03BAF"/>
    <w:rsid w:val="00C076F2"/>
    <w:rsid w:val="00C247EB"/>
    <w:rsid w:val="00C25BDA"/>
    <w:rsid w:val="00C53971"/>
    <w:rsid w:val="00C54FB1"/>
    <w:rsid w:val="00C80F9F"/>
    <w:rsid w:val="00CA0D78"/>
    <w:rsid w:val="00CB27A8"/>
    <w:rsid w:val="00CE7182"/>
    <w:rsid w:val="00D16CF4"/>
    <w:rsid w:val="00D36D90"/>
    <w:rsid w:val="00D42726"/>
    <w:rsid w:val="00D6498D"/>
    <w:rsid w:val="00D65C76"/>
    <w:rsid w:val="00DA2F73"/>
    <w:rsid w:val="00DA42E8"/>
    <w:rsid w:val="00DC193F"/>
    <w:rsid w:val="00DC3C4F"/>
    <w:rsid w:val="00DC462F"/>
    <w:rsid w:val="00E1612B"/>
    <w:rsid w:val="00E24FA3"/>
    <w:rsid w:val="00E328CD"/>
    <w:rsid w:val="00E45954"/>
    <w:rsid w:val="00E75D90"/>
    <w:rsid w:val="00E835AF"/>
    <w:rsid w:val="00E92706"/>
    <w:rsid w:val="00E97EF8"/>
    <w:rsid w:val="00EC3384"/>
    <w:rsid w:val="00ED637C"/>
    <w:rsid w:val="00EE1112"/>
    <w:rsid w:val="00EE44D7"/>
    <w:rsid w:val="00F14C6D"/>
    <w:rsid w:val="00F3100E"/>
    <w:rsid w:val="00F558D8"/>
    <w:rsid w:val="00F71A6E"/>
    <w:rsid w:val="00F9078E"/>
    <w:rsid w:val="00F95982"/>
    <w:rsid w:val="00FC582E"/>
    <w:rsid w:val="00FC65D3"/>
    <w:rsid w:val="00FD754C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02C0BAB"/>
  <w15:docId w15:val="{8BEE784C-BC41-44D7-8709-B645A61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071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qFormat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2E007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E5B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5BA0"/>
    <w:rPr>
      <w:rFonts w:ascii="Segoe UI" w:hAnsi="Segoe UI" w:cs="Segoe UI"/>
      <w:sz w:val="18"/>
      <w:szCs w:val="18"/>
    </w:rPr>
  </w:style>
  <w:style w:type="character" w:customStyle="1" w:styleId="EndnoteTextChar1">
    <w:name w:val="Endnote Text Char1"/>
    <w:rsid w:val="00A60855"/>
    <w:rPr>
      <w:rFonts w:ascii="Arial" w:eastAsia="MS Mincho" w:hAnsi="Arial"/>
      <w:lang w:val="en-AU" w:eastAsia="en-AU" w:bidi="ar-SA"/>
    </w:rPr>
  </w:style>
  <w:style w:type="character" w:styleId="CommentReference">
    <w:name w:val="annotation reference"/>
    <w:basedOn w:val="DefaultParagraphFont"/>
    <w:semiHidden/>
    <w:unhideWhenUsed/>
    <w:locked/>
    <w:rsid w:val="009016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9016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6A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901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16A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0E65-C88A-4F25-A306-454C9601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Mala Wadhera</dc:creator>
  <cp:lastModifiedBy>Mala Wadhera</cp:lastModifiedBy>
  <cp:revision>18</cp:revision>
  <cp:lastPrinted>2015-06-12T04:06:00Z</cp:lastPrinted>
  <dcterms:created xsi:type="dcterms:W3CDTF">2015-06-12T08:40:00Z</dcterms:created>
  <dcterms:modified xsi:type="dcterms:W3CDTF">2015-06-30T04:43:00Z</dcterms:modified>
</cp:coreProperties>
</file>