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DCAC2" w14:textId="58813743" w:rsidR="00D90393" w:rsidRPr="00D9294A" w:rsidRDefault="00831EE5" w:rsidP="00D90393">
      <w:pPr>
        <w:pStyle w:val="Title"/>
        <w:rPr>
          <w:sz w:val="36"/>
          <w:szCs w:val="36"/>
        </w:rPr>
      </w:pPr>
      <w:r w:rsidRPr="00D9294A">
        <w:rPr>
          <w:color w:val="1F497D" w:themeColor="text2"/>
          <w:sz w:val="36"/>
          <w:szCs w:val="36"/>
        </w:rPr>
        <w:t xml:space="preserve">Factsheet: </w:t>
      </w:r>
      <w:r w:rsidR="00D90393" w:rsidRPr="00D9294A">
        <w:rPr>
          <w:color w:val="1F497D" w:themeColor="text2"/>
          <w:sz w:val="36"/>
          <w:szCs w:val="36"/>
        </w:rPr>
        <w:t>Refugees and asylum seekers</w:t>
      </w:r>
    </w:p>
    <w:p w14:paraId="3E98506A" w14:textId="77777777" w:rsidR="00D90393" w:rsidRPr="00D9294A" w:rsidRDefault="00D90393" w:rsidP="00D90393">
      <w:pPr>
        <w:rPr>
          <w:b/>
          <w:color w:val="1F497D" w:themeColor="text2"/>
          <w:sz w:val="28"/>
        </w:rPr>
      </w:pPr>
      <w:r w:rsidRPr="00D9294A">
        <w:rPr>
          <w:b/>
          <w:color w:val="1F497D" w:themeColor="text2"/>
          <w:sz w:val="28"/>
        </w:rPr>
        <w:t>Background information</w:t>
      </w:r>
    </w:p>
    <w:p w14:paraId="7451C779" w14:textId="192E6018" w:rsidR="00D90393" w:rsidRDefault="00D90393" w:rsidP="000E571E">
      <w:pPr>
        <w:rPr>
          <w:lang w:val="en"/>
        </w:rPr>
      </w:pPr>
      <w:r w:rsidRPr="00204ED4">
        <w:rPr>
          <w:rFonts w:eastAsia="Calibri"/>
          <w:lang w:val="en-NZ" w:eastAsia="en-US"/>
        </w:rPr>
        <w:t xml:space="preserve">Australia </w:t>
      </w:r>
      <w:r>
        <w:rPr>
          <w:rFonts w:eastAsia="Calibri"/>
          <w:lang w:val="en-NZ" w:eastAsia="en-US"/>
        </w:rPr>
        <w:t>maintains a</w:t>
      </w:r>
      <w:r w:rsidRPr="00204ED4">
        <w:rPr>
          <w:rFonts w:eastAsia="Calibri"/>
          <w:lang w:val="en-NZ" w:eastAsia="en-US"/>
        </w:rPr>
        <w:t xml:space="preserve"> policy of </w:t>
      </w:r>
      <w:r>
        <w:rPr>
          <w:rFonts w:eastAsia="Calibri"/>
          <w:lang w:val="en-NZ" w:eastAsia="en-US"/>
        </w:rPr>
        <w:t>mandatory immigration detention, with people who arrive by boat</w:t>
      </w:r>
      <w:r w:rsidR="001746E1">
        <w:rPr>
          <w:rFonts w:eastAsia="Calibri"/>
          <w:lang w:val="en-NZ" w:eastAsia="en-US"/>
        </w:rPr>
        <w:t xml:space="preserve"> without a valid visa</w:t>
      </w:r>
      <w:r>
        <w:rPr>
          <w:rFonts w:eastAsia="Calibri"/>
          <w:lang w:val="en-NZ" w:eastAsia="en-US"/>
        </w:rPr>
        <w:t xml:space="preserve">, including children, liable for detention. </w:t>
      </w:r>
      <w:r w:rsidR="0060597F">
        <w:rPr>
          <w:lang w:val="en"/>
        </w:rPr>
        <w:t xml:space="preserve">Australia’s system is one of the strictest in the world because it is mandatory, it is not time limited, and people are not able to challenge the need for their detention in a court. </w:t>
      </w:r>
    </w:p>
    <w:p w14:paraId="005E6C6A" w14:textId="68B99825" w:rsidR="00D90393" w:rsidRDefault="00017537" w:rsidP="00D90393">
      <w:pPr>
        <w:rPr>
          <w:rFonts w:eastAsia="Calibri"/>
          <w:lang w:val="en-NZ" w:eastAsia="en-US"/>
        </w:rPr>
      </w:pPr>
      <w:r>
        <w:rPr>
          <w:rFonts w:eastAsia="Calibri"/>
          <w:lang w:val="en-NZ" w:eastAsia="en-US"/>
        </w:rPr>
        <w:t>I</w:t>
      </w:r>
      <w:r w:rsidR="00D90393">
        <w:rPr>
          <w:rFonts w:eastAsia="Calibri"/>
          <w:lang w:val="en-NZ" w:eastAsia="en-US"/>
        </w:rPr>
        <w:t xml:space="preserve">n 2012 offshore processing was introduced whereby all people arriving </w:t>
      </w:r>
      <w:r>
        <w:rPr>
          <w:rFonts w:eastAsia="Calibri"/>
          <w:lang w:val="en-NZ" w:eastAsia="en-US"/>
        </w:rPr>
        <w:t xml:space="preserve">by boat </w:t>
      </w:r>
      <w:r w:rsidR="00D90393">
        <w:rPr>
          <w:rFonts w:eastAsia="Calibri"/>
          <w:lang w:val="en-NZ" w:eastAsia="en-US"/>
        </w:rPr>
        <w:t xml:space="preserve">without a valid visa </w:t>
      </w:r>
      <w:r>
        <w:rPr>
          <w:rFonts w:eastAsia="Calibri"/>
          <w:lang w:val="en-NZ" w:eastAsia="en-US"/>
        </w:rPr>
        <w:t>a</w:t>
      </w:r>
      <w:r w:rsidR="00D90393">
        <w:rPr>
          <w:rFonts w:eastAsia="Calibri"/>
          <w:lang w:val="en-NZ" w:eastAsia="en-US"/>
        </w:rPr>
        <w:t xml:space="preserve">re transferred to the jurisdiction of third countries </w:t>
      </w:r>
      <w:r w:rsidR="00042D38">
        <w:rPr>
          <w:rFonts w:eastAsia="Calibri"/>
          <w:lang w:val="en-NZ" w:eastAsia="en-US"/>
        </w:rPr>
        <w:t>(</w:t>
      </w:r>
      <w:r w:rsidR="00870B73">
        <w:rPr>
          <w:rFonts w:eastAsia="Calibri"/>
          <w:lang w:val="en-NZ" w:eastAsia="en-US"/>
        </w:rPr>
        <w:t>currently Papua New Guinea</w:t>
      </w:r>
      <w:r w:rsidR="00042D38">
        <w:rPr>
          <w:rFonts w:eastAsia="Calibri"/>
          <w:lang w:val="en-NZ" w:eastAsia="en-US"/>
        </w:rPr>
        <w:t xml:space="preserve"> or Nauru) </w:t>
      </w:r>
      <w:r w:rsidR="00D90393">
        <w:rPr>
          <w:rFonts w:eastAsia="Calibri"/>
          <w:lang w:val="en-NZ" w:eastAsia="en-US"/>
        </w:rPr>
        <w:t>for processing of their asylum claims. Policy was toughened further when the government announced that all persons arriving by boat after July 2013 would not be resettled in Australia.</w:t>
      </w:r>
    </w:p>
    <w:p w14:paraId="4171D0EF" w14:textId="2CD1090D" w:rsidR="00D90393" w:rsidRDefault="00D90393" w:rsidP="00D90393">
      <w:pPr>
        <w:rPr>
          <w:rFonts w:eastAsia="Calibri"/>
          <w:lang w:val="en-NZ" w:eastAsia="en-US"/>
        </w:rPr>
      </w:pPr>
      <w:r>
        <w:rPr>
          <w:rFonts w:eastAsia="Calibri"/>
          <w:lang w:val="en-NZ" w:eastAsia="en-US"/>
        </w:rPr>
        <w:t>The number of people held in closed detention peaked in July 2013. In 2014, there was a decrease in the number of children held in closed detention with the use</w:t>
      </w:r>
      <w:r w:rsidR="004345F4">
        <w:rPr>
          <w:rFonts w:eastAsia="Calibri"/>
          <w:lang w:val="en-NZ" w:eastAsia="en-US"/>
        </w:rPr>
        <w:t xml:space="preserve"> </w:t>
      </w:r>
      <w:r>
        <w:rPr>
          <w:rFonts w:eastAsia="Calibri"/>
          <w:lang w:val="en-NZ" w:eastAsia="en-US"/>
        </w:rPr>
        <w:t>of community arrangements. All children and their families that were det</w:t>
      </w:r>
      <w:r w:rsidR="00017537">
        <w:rPr>
          <w:rFonts w:eastAsia="Calibri"/>
          <w:lang w:val="en-NZ" w:eastAsia="en-US"/>
        </w:rPr>
        <w:t>ained</w:t>
      </w:r>
      <w:r>
        <w:rPr>
          <w:rFonts w:eastAsia="Calibri"/>
          <w:lang w:val="en-NZ" w:eastAsia="en-US"/>
        </w:rPr>
        <w:t xml:space="preserve"> on Christmas Island were transferred to mainland Australia. </w:t>
      </w:r>
    </w:p>
    <w:p w14:paraId="46694408" w14:textId="54ADE011" w:rsidR="00D90393" w:rsidRDefault="00D90393" w:rsidP="00D90393">
      <w:pPr>
        <w:rPr>
          <w:rFonts w:eastAsia="Calibri"/>
          <w:lang w:val="en-NZ" w:eastAsia="en-US"/>
        </w:rPr>
      </w:pPr>
      <w:r>
        <w:rPr>
          <w:rFonts w:eastAsia="Calibri"/>
          <w:lang w:val="en-NZ" w:eastAsia="en-US"/>
        </w:rPr>
        <w:t xml:space="preserve">As of </w:t>
      </w:r>
      <w:r w:rsidR="00FC45E6">
        <w:rPr>
          <w:rFonts w:eastAsia="Calibri"/>
          <w:lang w:val="en-NZ" w:eastAsia="en-US"/>
        </w:rPr>
        <w:t>May 2015</w:t>
      </w:r>
      <w:r>
        <w:rPr>
          <w:rFonts w:eastAsia="Calibri"/>
          <w:lang w:val="en-NZ" w:eastAsia="en-US"/>
        </w:rPr>
        <w:t xml:space="preserve">, there </w:t>
      </w:r>
      <w:r w:rsidR="001B749D">
        <w:rPr>
          <w:rFonts w:eastAsia="Calibri"/>
          <w:lang w:val="en-NZ" w:eastAsia="en-US"/>
        </w:rPr>
        <w:t>we</w:t>
      </w:r>
      <w:r>
        <w:rPr>
          <w:rFonts w:eastAsia="Calibri"/>
          <w:lang w:val="en-NZ" w:eastAsia="en-US"/>
        </w:rPr>
        <w:t xml:space="preserve">re </w:t>
      </w:r>
      <w:r w:rsidR="001B749D">
        <w:rPr>
          <w:rFonts w:eastAsia="Calibri"/>
          <w:lang w:val="en-NZ" w:eastAsia="en-US"/>
        </w:rPr>
        <w:t>2026</w:t>
      </w:r>
      <w:r>
        <w:rPr>
          <w:rFonts w:eastAsia="Calibri"/>
          <w:lang w:val="en-NZ" w:eastAsia="en-US"/>
        </w:rPr>
        <w:t xml:space="preserve"> persons held in </w:t>
      </w:r>
      <w:r w:rsidR="001B749D">
        <w:rPr>
          <w:rFonts w:eastAsia="Calibri"/>
          <w:lang w:val="en-NZ" w:eastAsia="en-US"/>
        </w:rPr>
        <w:t>immigration</w:t>
      </w:r>
      <w:r>
        <w:rPr>
          <w:rFonts w:eastAsia="Calibri"/>
          <w:lang w:val="en-NZ" w:eastAsia="en-US"/>
        </w:rPr>
        <w:t xml:space="preserve"> detention</w:t>
      </w:r>
      <w:r w:rsidR="001B749D">
        <w:rPr>
          <w:rFonts w:eastAsia="Calibri"/>
          <w:lang w:val="en-NZ" w:eastAsia="en-US"/>
        </w:rPr>
        <w:t xml:space="preserve"> facilities in Australia</w:t>
      </w:r>
      <w:r>
        <w:rPr>
          <w:rFonts w:eastAsia="Calibri"/>
          <w:lang w:val="en-NZ" w:eastAsia="en-US"/>
        </w:rPr>
        <w:t xml:space="preserve">, including </w:t>
      </w:r>
      <w:r w:rsidR="001B749D">
        <w:rPr>
          <w:rFonts w:eastAsia="Calibri"/>
          <w:lang w:val="en-NZ" w:eastAsia="en-US"/>
        </w:rPr>
        <w:t>138</w:t>
      </w:r>
      <w:r>
        <w:rPr>
          <w:rFonts w:eastAsia="Calibri"/>
          <w:lang w:val="en-NZ" w:eastAsia="en-US"/>
        </w:rPr>
        <w:t xml:space="preserve"> children. </w:t>
      </w:r>
      <w:r w:rsidR="001B749D">
        <w:rPr>
          <w:rFonts w:eastAsia="Calibri"/>
          <w:lang w:val="en-NZ" w:eastAsia="en-US"/>
        </w:rPr>
        <w:t>In addition there were</w:t>
      </w:r>
      <w:r w:rsidR="00EC6C80">
        <w:rPr>
          <w:rFonts w:eastAsia="Calibri"/>
          <w:lang w:val="en-NZ" w:eastAsia="en-US"/>
        </w:rPr>
        <w:t xml:space="preserve"> </w:t>
      </w:r>
      <w:r w:rsidR="001B749D">
        <w:rPr>
          <w:rFonts w:eastAsia="Calibri"/>
          <w:lang w:val="en-NZ" w:eastAsia="en-US"/>
        </w:rPr>
        <w:t>943</w:t>
      </w:r>
      <w:r w:rsidR="009A3260">
        <w:rPr>
          <w:rFonts w:eastAsia="Calibri"/>
          <w:lang w:val="en-NZ" w:eastAsia="en-US"/>
        </w:rPr>
        <w:t xml:space="preserve"> asylum seekers</w:t>
      </w:r>
      <w:r>
        <w:rPr>
          <w:rFonts w:eastAsia="Calibri"/>
          <w:lang w:val="en-NZ" w:eastAsia="en-US"/>
        </w:rPr>
        <w:t xml:space="preserve"> </w:t>
      </w:r>
      <w:r w:rsidR="001B749D">
        <w:rPr>
          <w:rFonts w:eastAsia="Calibri"/>
          <w:lang w:val="en-NZ" w:eastAsia="en-US"/>
        </w:rPr>
        <w:t>detained</w:t>
      </w:r>
      <w:r>
        <w:rPr>
          <w:rFonts w:eastAsia="Calibri"/>
          <w:lang w:val="en-NZ" w:eastAsia="en-US"/>
        </w:rPr>
        <w:t xml:space="preserve"> in </w:t>
      </w:r>
      <w:r w:rsidR="001B749D">
        <w:rPr>
          <w:rFonts w:eastAsia="Calibri"/>
          <w:lang w:val="en-NZ" w:eastAsia="en-US"/>
        </w:rPr>
        <w:t>the ‘</w:t>
      </w:r>
      <w:r>
        <w:rPr>
          <w:rFonts w:eastAsia="Calibri"/>
          <w:lang w:val="en-NZ" w:eastAsia="en-US"/>
        </w:rPr>
        <w:t>regional processing centre</w:t>
      </w:r>
      <w:r w:rsidR="001B749D">
        <w:rPr>
          <w:rFonts w:eastAsia="Calibri"/>
          <w:lang w:val="en-NZ" w:eastAsia="en-US"/>
        </w:rPr>
        <w:t>’</w:t>
      </w:r>
      <w:r>
        <w:rPr>
          <w:rFonts w:eastAsia="Calibri"/>
          <w:lang w:val="en-NZ" w:eastAsia="en-US"/>
        </w:rPr>
        <w:t xml:space="preserve"> on </w:t>
      </w:r>
      <w:r w:rsidR="001B749D">
        <w:rPr>
          <w:rFonts w:eastAsia="Calibri"/>
          <w:lang w:val="en-NZ" w:eastAsia="en-US"/>
        </w:rPr>
        <w:t xml:space="preserve">Manus Island in </w:t>
      </w:r>
      <w:r>
        <w:rPr>
          <w:rFonts w:eastAsia="Calibri"/>
          <w:lang w:val="en-NZ" w:eastAsia="en-US"/>
        </w:rPr>
        <w:t>Papua New Guinea</w:t>
      </w:r>
      <w:r w:rsidR="001B749D">
        <w:rPr>
          <w:rFonts w:eastAsia="Calibri"/>
          <w:lang w:val="en-NZ" w:eastAsia="en-US"/>
        </w:rPr>
        <w:t>,</w:t>
      </w:r>
      <w:r>
        <w:rPr>
          <w:rFonts w:eastAsia="Calibri"/>
          <w:lang w:val="en-NZ" w:eastAsia="en-US"/>
        </w:rPr>
        <w:t xml:space="preserve"> </w:t>
      </w:r>
      <w:r w:rsidR="001B749D">
        <w:rPr>
          <w:rFonts w:eastAsia="Calibri"/>
          <w:lang w:val="en-NZ" w:eastAsia="en-US"/>
        </w:rPr>
        <w:t xml:space="preserve">and 634 </w:t>
      </w:r>
      <w:r w:rsidR="009A3260">
        <w:rPr>
          <w:rFonts w:eastAsia="Calibri"/>
          <w:lang w:val="en-NZ" w:eastAsia="en-US"/>
        </w:rPr>
        <w:t xml:space="preserve">asylum seekers </w:t>
      </w:r>
      <w:r w:rsidR="001B749D">
        <w:rPr>
          <w:rFonts w:eastAsia="Calibri"/>
          <w:lang w:val="en-NZ" w:eastAsia="en-US"/>
        </w:rPr>
        <w:t>detained in</w:t>
      </w:r>
      <w:r>
        <w:rPr>
          <w:rFonts w:eastAsia="Calibri"/>
          <w:lang w:val="en-NZ" w:eastAsia="en-US"/>
        </w:rPr>
        <w:t xml:space="preserve"> Nauru</w:t>
      </w:r>
      <w:r w:rsidR="001B749D">
        <w:rPr>
          <w:rFonts w:eastAsia="Calibri"/>
          <w:lang w:val="en-NZ" w:eastAsia="en-US"/>
        </w:rPr>
        <w:t xml:space="preserve"> (including 81 children)</w:t>
      </w:r>
      <w:r>
        <w:rPr>
          <w:rFonts w:eastAsia="Calibri"/>
          <w:lang w:val="en-NZ" w:eastAsia="en-US"/>
        </w:rPr>
        <w:t xml:space="preserve">. </w:t>
      </w:r>
      <w:r w:rsidR="00EC6C80">
        <w:rPr>
          <w:rFonts w:eastAsia="Calibri"/>
          <w:lang w:val="en-NZ" w:eastAsia="en-US"/>
        </w:rPr>
        <w:t xml:space="preserve">As at </w:t>
      </w:r>
      <w:r w:rsidR="00C00698">
        <w:rPr>
          <w:rFonts w:eastAsia="Calibri"/>
          <w:lang w:val="en-NZ" w:eastAsia="en-US"/>
        </w:rPr>
        <w:t>May</w:t>
      </w:r>
      <w:r w:rsidR="00EC6C80">
        <w:rPr>
          <w:rFonts w:eastAsia="Calibri"/>
          <w:lang w:val="en-NZ" w:eastAsia="en-US"/>
        </w:rPr>
        <w:t xml:space="preserve"> 2015, o</w:t>
      </w:r>
      <w:r w:rsidR="00E40319">
        <w:rPr>
          <w:rFonts w:eastAsia="Calibri"/>
          <w:lang w:val="en-NZ" w:eastAsia="en-US"/>
        </w:rPr>
        <w:t>ver 30</w:t>
      </w:r>
      <w:r w:rsidR="006E3883">
        <w:rPr>
          <w:rFonts w:eastAsia="Calibri"/>
          <w:lang w:val="en-NZ" w:eastAsia="en-US"/>
        </w:rPr>
        <w:t>,</w:t>
      </w:r>
      <w:r w:rsidR="00E40319">
        <w:rPr>
          <w:rFonts w:eastAsia="Calibri"/>
          <w:lang w:val="en-NZ" w:eastAsia="en-US"/>
        </w:rPr>
        <w:t xml:space="preserve">000 </w:t>
      </w:r>
      <w:r>
        <w:rPr>
          <w:rFonts w:eastAsia="Calibri"/>
          <w:lang w:val="en-NZ" w:eastAsia="en-US"/>
        </w:rPr>
        <w:t xml:space="preserve">asylum seekers </w:t>
      </w:r>
      <w:r w:rsidR="00C54AF4">
        <w:rPr>
          <w:rFonts w:eastAsia="Calibri"/>
          <w:lang w:val="en-NZ" w:eastAsia="en-US"/>
        </w:rPr>
        <w:t>we</w:t>
      </w:r>
      <w:r>
        <w:rPr>
          <w:rFonts w:eastAsia="Calibri"/>
          <w:lang w:val="en-NZ" w:eastAsia="en-US"/>
        </w:rPr>
        <w:t>re waiting for their claims to be processed.</w:t>
      </w:r>
      <w:r w:rsidR="005B14D1">
        <w:rPr>
          <w:rStyle w:val="EndnoteReference"/>
          <w:rFonts w:eastAsia="Calibri"/>
          <w:lang w:val="en-NZ" w:eastAsia="en-US"/>
        </w:rPr>
        <w:endnoteReference w:id="1"/>
      </w:r>
    </w:p>
    <w:p w14:paraId="4022B9DA" w14:textId="77777777" w:rsidR="00D90393" w:rsidRPr="00D9294A" w:rsidRDefault="00D90393" w:rsidP="00D90393">
      <w:pPr>
        <w:rPr>
          <w:b/>
          <w:color w:val="1F497D" w:themeColor="text2"/>
          <w:sz w:val="28"/>
        </w:rPr>
      </w:pPr>
      <w:r w:rsidRPr="00D9294A">
        <w:rPr>
          <w:b/>
          <w:color w:val="1F497D" w:themeColor="text2"/>
          <w:sz w:val="28"/>
        </w:rPr>
        <w:t>Key issue – Prolonged detention in closed facilities</w:t>
      </w:r>
    </w:p>
    <w:p w14:paraId="7EC8AAA9" w14:textId="681489C6" w:rsidR="00DA6221" w:rsidRPr="000E571E" w:rsidRDefault="00D90393" w:rsidP="00D90393">
      <w:r>
        <w:t xml:space="preserve">Prolonged </w:t>
      </w:r>
      <w:r w:rsidR="00E555A6">
        <w:rPr>
          <w:lang w:val="en"/>
        </w:rPr>
        <w:t>mandatory detention of asylum seeker children causes them significant mental and physical illness and developmental delays, in breach of Australia’s international obligations.</w:t>
      </w:r>
      <w:r w:rsidR="008B474C">
        <w:rPr>
          <w:rStyle w:val="EndnoteReference"/>
        </w:rPr>
        <w:endnoteReference w:id="2"/>
      </w:r>
      <w:r>
        <w:t xml:space="preserve"> The average length of time people </w:t>
      </w:r>
      <w:r w:rsidR="00FB7959">
        <w:t xml:space="preserve">were being </w:t>
      </w:r>
      <w:r>
        <w:t>held in immigration detention facilities</w:t>
      </w:r>
      <w:r w:rsidR="000D1019">
        <w:t xml:space="preserve"> in Australia</w:t>
      </w:r>
      <w:r>
        <w:t xml:space="preserve"> </w:t>
      </w:r>
      <w:r w:rsidRPr="00C445E3">
        <w:t xml:space="preserve">as of </w:t>
      </w:r>
      <w:r w:rsidR="00FB7959">
        <w:t xml:space="preserve">31 </w:t>
      </w:r>
      <w:r w:rsidRPr="00C445E3">
        <w:t>Ma</w:t>
      </w:r>
      <w:r w:rsidR="00FC45E6" w:rsidRPr="00C445E3">
        <w:t>y</w:t>
      </w:r>
      <w:r w:rsidRPr="00C445E3">
        <w:t xml:space="preserve"> 2015 </w:t>
      </w:r>
      <w:r w:rsidR="00FB7959">
        <w:t>wa</w:t>
      </w:r>
      <w:r w:rsidRPr="00C445E3">
        <w:t>s</w:t>
      </w:r>
      <w:r>
        <w:t xml:space="preserve"> </w:t>
      </w:r>
      <w:r w:rsidRPr="0081667F">
        <w:t>394</w:t>
      </w:r>
      <w:r>
        <w:t xml:space="preserve"> days.</w:t>
      </w:r>
      <w:r w:rsidR="00FB7959" w:rsidRPr="00FB7959">
        <w:rPr>
          <w:rStyle w:val="EndnoteReference"/>
          <w:rFonts w:eastAsia="Calibri"/>
          <w:lang w:val="en-NZ" w:eastAsia="en-US"/>
        </w:rPr>
        <w:t xml:space="preserve"> </w:t>
      </w:r>
      <w:r w:rsidR="00FB7959">
        <w:rPr>
          <w:rStyle w:val="EndnoteReference"/>
          <w:rFonts w:eastAsia="Calibri"/>
          <w:lang w:val="en-NZ" w:eastAsia="en-US"/>
        </w:rPr>
        <w:endnoteReference w:id="3"/>
      </w:r>
      <w:r>
        <w:t xml:space="preserve"> Some people have been held in detention for multiple years as a result of a family member receiving an adverse security assessment</w:t>
      </w:r>
      <w:r w:rsidR="00BD6254">
        <w:t xml:space="preserve">, which is not </w:t>
      </w:r>
      <w:r w:rsidR="00BD6254" w:rsidRPr="001B47E3">
        <w:t>periodically</w:t>
      </w:r>
      <w:r w:rsidR="00BD6254">
        <w:t xml:space="preserve"> </w:t>
      </w:r>
      <w:r w:rsidR="00BD6254" w:rsidRPr="001B47E3">
        <w:t>reviewed</w:t>
      </w:r>
      <w:r>
        <w:t>.</w:t>
      </w:r>
      <w:r w:rsidR="00644651">
        <w:rPr>
          <w:rStyle w:val="EndnoteReference"/>
        </w:rPr>
        <w:endnoteReference w:id="4"/>
      </w:r>
      <w:r>
        <w:t xml:space="preserve"> </w:t>
      </w:r>
    </w:p>
    <w:p w14:paraId="42DCE98B" w14:textId="77777777" w:rsidR="00D90393" w:rsidRPr="00D9294A" w:rsidRDefault="00D90393" w:rsidP="00D90393">
      <w:pPr>
        <w:rPr>
          <w:b/>
          <w:color w:val="1F497D" w:themeColor="text2"/>
          <w:sz w:val="28"/>
        </w:rPr>
      </w:pPr>
      <w:r w:rsidRPr="00D9294A">
        <w:rPr>
          <w:b/>
          <w:color w:val="1F497D" w:themeColor="text2"/>
          <w:sz w:val="28"/>
        </w:rPr>
        <w:t xml:space="preserve">Recommendation </w:t>
      </w:r>
    </w:p>
    <w:p w14:paraId="2FF84E8A" w14:textId="77777777" w:rsidR="00D90393" w:rsidRDefault="00D90393" w:rsidP="00D90393">
      <w:pPr>
        <w:rPr>
          <w:b/>
          <w:i/>
        </w:rPr>
      </w:pPr>
      <w:r>
        <w:rPr>
          <w:b/>
          <w:i/>
        </w:rPr>
        <w:t>I</w:t>
      </w:r>
      <w:r w:rsidRPr="000E1A35">
        <w:rPr>
          <w:b/>
          <w:i/>
        </w:rPr>
        <w:t>ntroduce time limits and access to judicial oversight of detention so that detention occurs only when necessary, for a minimal period, and where it is a reasonable and proportionate means of achieving a legitimate aim. Government continue to expand the use of alternatives to closed detention.</w:t>
      </w:r>
    </w:p>
    <w:p w14:paraId="5D58DD67" w14:textId="77777777" w:rsidR="00D9294A" w:rsidRDefault="00D9294A" w:rsidP="00D90393">
      <w:pPr>
        <w:rPr>
          <w:b/>
          <w:color w:val="1F497D" w:themeColor="text2"/>
          <w:sz w:val="28"/>
        </w:rPr>
      </w:pPr>
    </w:p>
    <w:p w14:paraId="3532A717" w14:textId="77777777" w:rsidR="00D9294A" w:rsidRDefault="00D9294A" w:rsidP="00D90393">
      <w:pPr>
        <w:rPr>
          <w:b/>
          <w:color w:val="1F497D" w:themeColor="text2"/>
          <w:sz w:val="28"/>
        </w:rPr>
      </w:pPr>
    </w:p>
    <w:p w14:paraId="2BEFFF4E" w14:textId="59B455E7" w:rsidR="00D90393" w:rsidRPr="00D9294A" w:rsidRDefault="00D90393" w:rsidP="00D90393">
      <w:pPr>
        <w:rPr>
          <w:b/>
          <w:color w:val="1F497D" w:themeColor="text2"/>
          <w:sz w:val="28"/>
        </w:rPr>
      </w:pPr>
      <w:r w:rsidRPr="00D9294A">
        <w:rPr>
          <w:b/>
          <w:color w:val="1F497D" w:themeColor="text2"/>
          <w:sz w:val="28"/>
        </w:rPr>
        <w:lastRenderedPageBreak/>
        <w:t>Key issue – Offshore processing</w:t>
      </w:r>
    </w:p>
    <w:p w14:paraId="67880E0B" w14:textId="1B99A89B" w:rsidR="00E36030" w:rsidRDefault="00D90393" w:rsidP="00D90393">
      <w:pPr>
        <w:rPr>
          <w:rFonts w:eastAsia="Calibri"/>
          <w:lang w:val="en-NZ" w:eastAsia="en-US"/>
        </w:rPr>
      </w:pPr>
      <w:r w:rsidRPr="003E6A3A">
        <w:rPr>
          <w:rFonts w:eastAsia="Calibri"/>
          <w:lang w:val="en-NZ" w:eastAsia="en-US"/>
        </w:rPr>
        <w:t>Australia</w:t>
      </w:r>
      <w:r>
        <w:rPr>
          <w:rFonts w:eastAsia="Calibri"/>
          <w:lang w:val="en-NZ" w:eastAsia="en-US"/>
        </w:rPr>
        <w:t>’s</w:t>
      </w:r>
      <w:r w:rsidRPr="003E6A3A">
        <w:rPr>
          <w:rFonts w:eastAsia="Calibri"/>
          <w:lang w:val="en-NZ" w:eastAsia="en-US"/>
        </w:rPr>
        <w:t xml:space="preserve"> reintroduc</w:t>
      </w:r>
      <w:r>
        <w:rPr>
          <w:rFonts w:eastAsia="Calibri"/>
          <w:lang w:val="en-NZ" w:eastAsia="en-US"/>
        </w:rPr>
        <w:t xml:space="preserve">tion of </w:t>
      </w:r>
      <w:r w:rsidRPr="003E6A3A">
        <w:rPr>
          <w:rFonts w:eastAsia="Calibri"/>
          <w:lang w:val="en-NZ" w:eastAsia="en-US"/>
        </w:rPr>
        <w:t xml:space="preserve">third country processing arrangements </w:t>
      </w:r>
      <w:r w:rsidR="005A43B4">
        <w:rPr>
          <w:rFonts w:eastAsia="Calibri"/>
          <w:lang w:val="en-NZ" w:eastAsia="en-US"/>
        </w:rPr>
        <w:t>results in</w:t>
      </w:r>
      <w:r>
        <w:rPr>
          <w:rFonts w:eastAsia="Calibri"/>
          <w:lang w:val="en-NZ" w:eastAsia="en-US"/>
        </w:rPr>
        <w:t xml:space="preserve"> many asylum seekers, including children, being sent to remote </w:t>
      </w:r>
      <w:r w:rsidR="00157A6A">
        <w:rPr>
          <w:rFonts w:eastAsia="Calibri"/>
          <w:lang w:val="en-NZ" w:eastAsia="en-US"/>
        </w:rPr>
        <w:t xml:space="preserve">detention </w:t>
      </w:r>
      <w:r>
        <w:rPr>
          <w:rFonts w:eastAsia="Calibri"/>
          <w:lang w:val="en-NZ" w:eastAsia="en-US"/>
        </w:rPr>
        <w:t xml:space="preserve">facilities </w:t>
      </w:r>
      <w:r w:rsidR="00615C7A">
        <w:rPr>
          <w:rFonts w:eastAsia="Calibri"/>
          <w:lang w:val="en-NZ" w:eastAsia="en-US"/>
        </w:rPr>
        <w:t xml:space="preserve">in </w:t>
      </w:r>
      <w:r>
        <w:rPr>
          <w:rFonts w:eastAsia="Calibri"/>
          <w:lang w:val="en-NZ" w:eastAsia="en-US"/>
        </w:rPr>
        <w:t>Papua New Guinea and Nauru</w:t>
      </w:r>
      <w:r w:rsidRPr="003E6A3A">
        <w:rPr>
          <w:rFonts w:eastAsia="Calibri"/>
          <w:lang w:val="en-NZ" w:eastAsia="en-US"/>
        </w:rPr>
        <w:t>. If owed protection, refugees subject to these arrangements are resettled in Papua New Guinea</w:t>
      </w:r>
      <w:r>
        <w:rPr>
          <w:rFonts w:eastAsia="Calibri"/>
          <w:lang w:val="en-NZ" w:eastAsia="en-US"/>
        </w:rPr>
        <w:t>,</w:t>
      </w:r>
      <w:r w:rsidRPr="003E6A3A">
        <w:rPr>
          <w:rFonts w:eastAsia="Calibri"/>
          <w:lang w:val="en-NZ" w:eastAsia="en-US"/>
        </w:rPr>
        <w:t xml:space="preserve"> Nauru</w:t>
      </w:r>
      <w:r w:rsidR="00B85799">
        <w:rPr>
          <w:rFonts w:eastAsia="Calibri"/>
          <w:lang w:val="en-NZ" w:eastAsia="en-US"/>
        </w:rPr>
        <w:t xml:space="preserve">, or, </w:t>
      </w:r>
      <w:r>
        <w:rPr>
          <w:rFonts w:eastAsia="Calibri"/>
          <w:lang w:val="en-NZ" w:eastAsia="en-US"/>
        </w:rPr>
        <w:t>under a recent agreement</w:t>
      </w:r>
      <w:r w:rsidR="00B85799">
        <w:rPr>
          <w:rFonts w:eastAsia="Calibri"/>
          <w:lang w:val="en-NZ" w:eastAsia="en-US"/>
        </w:rPr>
        <w:t>,</w:t>
      </w:r>
      <w:r>
        <w:rPr>
          <w:rFonts w:eastAsia="Calibri"/>
          <w:lang w:val="en-NZ" w:eastAsia="en-US"/>
        </w:rPr>
        <w:t xml:space="preserve"> Cambodia</w:t>
      </w:r>
      <w:r w:rsidRPr="003E6A3A">
        <w:rPr>
          <w:rFonts w:eastAsia="Calibri"/>
          <w:lang w:val="en-NZ" w:eastAsia="en-US"/>
        </w:rPr>
        <w:t>.</w:t>
      </w:r>
      <w:r>
        <w:t xml:space="preserve"> </w:t>
      </w:r>
      <w:r w:rsidR="001A072F">
        <w:t>There have been numerous</w:t>
      </w:r>
      <w:r w:rsidR="00DB170C">
        <w:t xml:space="preserve"> reports about </w:t>
      </w:r>
      <w:r>
        <w:rPr>
          <w:rFonts w:eastAsia="Calibri"/>
          <w:lang w:val="en-NZ" w:eastAsia="en-US"/>
        </w:rPr>
        <w:t xml:space="preserve">the </w:t>
      </w:r>
      <w:r w:rsidR="00B85799">
        <w:rPr>
          <w:rFonts w:eastAsia="Calibri"/>
          <w:lang w:val="en-NZ" w:eastAsia="en-US"/>
        </w:rPr>
        <w:t>harsh</w:t>
      </w:r>
      <w:r w:rsidRPr="003E6A3A">
        <w:rPr>
          <w:rFonts w:eastAsia="Calibri"/>
          <w:lang w:val="en-NZ" w:eastAsia="en-US"/>
        </w:rPr>
        <w:t xml:space="preserve"> conditions</w:t>
      </w:r>
      <w:r w:rsidR="00041ACA">
        <w:rPr>
          <w:rFonts w:eastAsia="Calibri"/>
          <w:lang w:val="en-NZ" w:eastAsia="en-US"/>
        </w:rPr>
        <w:t xml:space="preserve"> and risks to the safety of asylum seekers</w:t>
      </w:r>
      <w:r w:rsidRPr="003E6A3A">
        <w:rPr>
          <w:rFonts w:eastAsia="Calibri"/>
          <w:lang w:val="en-NZ" w:eastAsia="en-US"/>
        </w:rPr>
        <w:t xml:space="preserve"> </w:t>
      </w:r>
      <w:r w:rsidR="00B85799">
        <w:rPr>
          <w:rFonts w:eastAsia="Calibri"/>
          <w:lang w:val="en-NZ" w:eastAsia="en-US"/>
        </w:rPr>
        <w:t>in</w:t>
      </w:r>
      <w:r>
        <w:rPr>
          <w:rFonts w:eastAsia="Calibri"/>
          <w:lang w:val="en-NZ" w:eastAsia="en-US"/>
        </w:rPr>
        <w:t xml:space="preserve"> the detention centres </w:t>
      </w:r>
      <w:r w:rsidR="00B85799">
        <w:rPr>
          <w:rFonts w:eastAsia="Calibri"/>
          <w:lang w:val="en-NZ" w:eastAsia="en-US"/>
        </w:rPr>
        <w:t>i</w:t>
      </w:r>
      <w:r>
        <w:rPr>
          <w:rFonts w:eastAsia="Calibri"/>
          <w:lang w:val="en-NZ" w:eastAsia="en-US"/>
        </w:rPr>
        <w:t>n Papua New Guinea and Nauru.</w:t>
      </w:r>
      <w:r w:rsidR="00DB170C">
        <w:rPr>
          <w:rStyle w:val="EndnoteReference"/>
          <w:rFonts w:eastAsia="Calibri"/>
          <w:lang w:val="en-NZ" w:eastAsia="en-US"/>
        </w:rPr>
        <w:endnoteReference w:id="5"/>
      </w:r>
      <w:r>
        <w:rPr>
          <w:rFonts w:eastAsia="Calibri"/>
          <w:lang w:val="en-NZ" w:eastAsia="en-US"/>
        </w:rPr>
        <w:t xml:space="preserve"> </w:t>
      </w:r>
      <w:r w:rsidR="0078141C">
        <w:rPr>
          <w:rFonts w:eastAsia="Calibri"/>
          <w:lang w:val="en-NZ" w:eastAsia="en-US"/>
        </w:rPr>
        <w:t xml:space="preserve">Long term detention has </w:t>
      </w:r>
      <w:r w:rsidRPr="003E6A3A">
        <w:rPr>
          <w:rFonts w:eastAsia="Calibri"/>
          <w:lang w:val="en-NZ" w:eastAsia="en-US"/>
        </w:rPr>
        <w:t xml:space="preserve">detrimental impacts on </w:t>
      </w:r>
      <w:r>
        <w:rPr>
          <w:rFonts w:eastAsia="Calibri"/>
          <w:lang w:val="en-NZ" w:eastAsia="en-US"/>
        </w:rPr>
        <w:t xml:space="preserve">their </w:t>
      </w:r>
      <w:r w:rsidRPr="003E6A3A">
        <w:rPr>
          <w:rFonts w:eastAsia="Calibri"/>
          <w:lang w:val="en-NZ" w:eastAsia="en-US"/>
        </w:rPr>
        <w:t>physical and mental health.</w:t>
      </w:r>
      <w:r w:rsidR="00D357D1">
        <w:rPr>
          <w:rStyle w:val="EndnoteReference"/>
          <w:rFonts w:eastAsia="Calibri"/>
          <w:lang w:val="en-NZ" w:eastAsia="en-US"/>
        </w:rPr>
        <w:endnoteReference w:id="6"/>
      </w:r>
      <w:r w:rsidRPr="003E6A3A">
        <w:rPr>
          <w:rFonts w:eastAsia="Calibri"/>
          <w:lang w:val="en-NZ" w:eastAsia="en-US"/>
        </w:rPr>
        <w:t xml:space="preserve"> </w:t>
      </w:r>
      <w:r w:rsidR="0078141C">
        <w:rPr>
          <w:rFonts w:eastAsia="Calibri"/>
          <w:lang w:val="en-NZ" w:eastAsia="en-US"/>
        </w:rPr>
        <w:t xml:space="preserve"> </w:t>
      </w:r>
    </w:p>
    <w:p w14:paraId="31221A4B" w14:textId="5A7BE88F" w:rsidR="00D90393" w:rsidRDefault="00D357D1" w:rsidP="00D90393">
      <w:pPr>
        <w:rPr>
          <w:rFonts w:eastAsia="Calibri"/>
          <w:lang w:val="en-NZ" w:eastAsia="en-US"/>
        </w:rPr>
      </w:pPr>
      <w:r>
        <w:rPr>
          <w:rFonts w:eastAsia="Calibri"/>
          <w:lang w:val="en-NZ" w:eastAsia="en-US"/>
        </w:rPr>
        <w:t xml:space="preserve">Currently </w:t>
      </w:r>
      <w:r>
        <w:t>c</w:t>
      </w:r>
      <w:r w:rsidR="0054200F">
        <w:t>hildren on Nauru are suffering from extreme levels of physical, emotional, psychological and developmental distress.</w:t>
      </w:r>
      <w:r w:rsidR="009A64BF">
        <w:rPr>
          <w:rFonts w:eastAsia="Calibri"/>
          <w:lang w:val="en-NZ" w:eastAsia="en-US"/>
        </w:rPr>
        <w:t xml:space="preserve"> </w:t>
      </w:r>
      <w:r w:rsidR="00D90393">
        <w:rPr>
          <w:rFonts w:eastAsia="Calibri"/>
          <w:lang w:val="en-NZ" w:eastAsia="en-US"/>
        </w:rPr>
        <w:t xml:space="preserve">Additionally the level of health care provided to asylum seekers in these centres is </w:t>
      </w:r>
      <w:r w:rsidR="00E42153">
        <w:rPr>
          <w:rFonts w:eastAsia="Calibri"/>
          <w:lang w:val="en-NZ" w:eastAsia="en-US"/>
        </w:rPr>
        <w:t>inadequate</w:t>
      </w:r>
      <w:r w:rsidR="00D90393">
        <w:rPr>
          <w:rFonts w:eastAsia="Calibri"/>
          <w:lang w:val="en-NZ" w:eastAsia="en-US"/>
        </w:rPr>
        <w:t>, with more significant health issues requiring patients to be flown back to Australia for treatment.</w:t>
      </w:r>
      <w:r w:rsidR="005B14D1">
        <w:rPr>
          <w:rStyle w:val="EndnoteReference"/>
          <w:rFonts w:eastAsia="Calibri"/>
          <w:lang w:val="en-NZ" w:eastAsia="en-US"/>
        </w:rPr>
        <w:endnoteReference w:id="7"/>
      </w:r>
    </w:p>
    <w:p w14:paraId="0457899D" w14:textId="77777777" w:rsidR="00D90393" w:rsidRPr="00D9294A" w:rsidRDefault="00D90393" w:rsidP="00D90393">
      <w:pPr>
        <w:rPr>
          <w:b/>
          <w:color w:val="1F497D" w:themeColor="text2"/>
          <w:sz w:val="28"/>
        </w:rPr>
      </w:pPr>
      <w:r w:rsidRPr="00D9294A">
        <w:rPr>
          <w:b/>
          <w:color w:val="1F497D" w:themeColor="text2"/>
          <w:sz w:val="28"/>
        </w:rPr>
        <w:t xml:space="preserve">Recommendation </w:t>
      </w:r>
    </w:p>
    <w:p w14:paraId="2D4701C3" w14:textId="09422BE7" w:rsidR="00D90393" w:rsidRDefault="00D90393" w:rsidP="00D90393">
      <w:pPr>
        <w:rPr>
          <w:b/>
          <w:i/>
        </w:rPr>
      </w:pPr>
      <w:r w:rsidRPr="007A12DA">
        <w:rPr>
          <w:b/>
          <w:i/>
        </w:rPr>
        <w:t xml:space="preserve">Government immediately cease the transfer of people to </w:t>
      </w:r>
      <w:r>
        <w:rPr>
          <w:b/>
          <w:i/>
        </w:rPr>
        <w:t>Papua New Guinea and Nauru and</w:t>
      </w:r>
      <w:r w:rsidRPr="003E6A3A">
        <w:rPr>
          <w:b/>
          <w:i/>
        </w:rPr>
        <w:t xml:space="preserve"> return people transferred back to Australia</w:t>
      </w:r>
      <w:r>
        <w:rPr>
          <w:b/>
          <w:i/>
        </w:rPr>
        <w:t>. Government should</w:t>
      </w:r>
      <w:r w:rsidRPr="003E6A3A">
        <w:rPr>
          <w:b/>
          <w:i/>
        </w:rPr>
        <w:t xml:space="preserve"> continue to negotiate </w:t>
      </w:r>
      <w:r w:rsidR="001E2C6C">
        <w:rPr>
          <w:b/>
          <w:i/>
        </w:rPr>
        <w:t xml:space="preserve">regional settlement arrangements </w:t>
      </w:r>
      <w:r w:rsidRPr="003E6A3A">
        <w:rPr>
          <w:b/>
          <w:i/>
        </w:rPr>
        <w:t>through the Bali Process Regional Cooperation Framework.</w:t>
      </w:r>
    </w:p>
    <w:p w14:paraId="6B344A72" w14:textId="77777777" w:rsidR="00D90393" w:rsidRPr="00D9294A" w:rsidRDefault="00D90393" w:rsidP="00D90393">
      <w:pPr>
        <w:rPr>
          <w:b/>
          <w:color w:val="1F497D" w:themeColor="text2"/>
          <w:sz w:val="28"/>
        </w:rPr>
      </w:pPr>
      <w:r w:rsidRPr="00D9294A">
        <w:rPr>
          <w:b/>
          <w:color w:val="1F497D" w:themeColor="text2"/>
          <w:sz w:val="28"/>
        </w:rPr>
        <w:t>Key issue – Changes to the l</w:t>
      </w:r>
      <w:bookmarkStart w:id="0" w:name="_GoBack"/>
      <w:bookmarkEnd w:id="0"/>
      <w:r w:rsidRPr="00D9294A">
        <w:rPr>
          <w:b/>
          <w:color w:val="1F497D" w:themeColor="text2"/>
          <w:sz w:val="28"/>
        </w:rPr>
        <w:t>egal framework</w:t>
      </w:r>
    </w:p>
    <w:p w14:paraId="2A859121" w14:textId="77777777" w:rsidR="007B4E7A" w:rsidRDefault="00D90393" w:rsidP="00D90393">
      <w:pPr>
        <w:rPr>
          <w:rFonts w:eastAsia="Calibri" w:cs="Arial"/>
          <w:szCs w:val="23"/>
          <w:lang w:val="en-NZ" w:eastAsia="en-US"/>
        </w:rPr>
      </w:pPr>
      <w:r w:rsidRPr="008E5F58">
        <w:rPr>
          <w:rFonts w:eastAsia="Calibri" w:cs="Arial"/>
          <w:szCs w:val="23"/>
          <w:lang w:val="en-NZ" w:eastAsia="en-US"/>
        </w:rPr>
        <w:t xml:space="preserve">Australia </w:t>
      </w:r>
      <w:r>
        <w:rPr>
          <w:rFonts w:eastAsia="Calibri" w:cs="Arial"/>
          <w:szCs w:val="23"/>
          <w:lang w:val="en-NZ" w:eastAsia="en-US"/>
        </w:rPr>
        <w:t xml:space="preserve">has an </w:t>
      </w:r>
      <w:r w:rsidRPr="008E5F58">
        <w:rPr>
          <w:rFonts w:eastAsia="Calibri" w:cs="Arial"/>
          <w:szCs w:val="23"/>
          <w:lang w:val="en-NZ" w:eastAsia="en-US"/>
        </w:rPr>
        <w:t>establish</w:t>
      </w:r>
      <w:r>
        <w:rPr>
          <w:rFonts w:eastAsia="Calibri" w:cs="Arial"/>
          <w:szCs w:val="23"/>
          <w:lang w:val="en-NZ" w:eastAsia="en-US"/>
        </w:rPr>
        <w:t>ed</w:t>
      </w:r>
      <w:r w:rsidRPr="008E5F58">
        <w:rPr>
          <w:rFonts w:eastAsia="Calibri" w:cs="Arial"/>
          <w:szCs w:val="23"/>
          <w:lang w:val="en-NZ" w:eastAsia="en-US"/>
        </w:rPr>
        <w:t xml:space="preserve"> statutory complementary protection framework</w:t>
      </w:r>
      <w:r>
        <w:rPr>
          <w:rFonts w:eastAsia="Calibri" w:cs="Arial"/>
          <w:szCs w:val="23"/>
          <w:lang w:val="en-NZ" w:eastAsia="en-US"/>
        </w:rPr>
        <w:t xml:space="preserve"> to provide protection for those not classified as refugees but that cannot be safely returned to their countries</w:t>
      </w:r>
      <w:r w:rsidRPr="008E5F58">
        <w:rPr>
          <w:rFonts w:eastAsia="Calibri" w:cs="Arial"/>
          <w:szCs w:val="23"/>
          <w:lang w:val="en-NZ" w:eastAsia="en-US"/>
        </w:rPr>
        <w:t>.</w:t>
      </w:r>
      <w:r>
        <w:rPr>
          <w:rFonts w:eastAsia="Calibri" w:cs="Arial"/>
          <w:szCs w:val="23"/>
          <w:lang w:val="en-NZ" w:eastAsia="en-US"/>
        </w:rPr>
        <w:t xml:space="preserve"> </w:t>
      </w:r>
    </w:p>
    <w:p w14:paraId="09A9D387" w14:textId="07422175" w:rsidR="007B4E7A" w:rsidRDefault="00D90393" w:rsidP="00D90393">
      <w:pPr>
        <w:rPr>
          <w:rFonts w:eastAsia="Calibri" w:cs="Arial"/>
          <w:szCs w:val="23"/>
          <w:lang w:val="en-NZ" w:eastAsia="en-US"/>
        </w:rPr>
      </w:pPr>
      <w:r w:rsidRPr="008E5F58">
        <w:rPr>
          <w:rFonts w:eastAsia="Calibri" w:cs="Arial"/>
          <w:szCs w:val="23"/>
          <w:lang w:val="en-NZ" w:eastAsia="en-US"/>
        </w:rPr>
        <w:t>Recent legislative change</w:t>
      </w:r>
      <w:r>
        <w:rPr>
          <w:rFonts w:eastAsia="Calibri" w:cs="Arial"/>
          <w:szCs w:val="23"/>
          <w:lang w:val="en-NZ" w:eastAsia="en-US"/>
        </w:rPr>
        <w:t>s</w:t>
      </w:r>
      <w:r w:rsidRPr="008E5F58">
        <w:rPr>
          <w:rFonts w:eastAsia="Calibri" w:cs="Arial"/>
          <w:szCs w:val="23"/>
          <w:lang w:val="en-NZ" w:eastAsia="en-US"/>
        </w:rPr>
        <w:t xml:space="preserve"> ha</w:t>
      </w:r>
      <w:r>
        <w:rPr>
          <w:rFonts w:eastAsia="Calibri" w:cs="Arial"/>
          <w:szCs w:val="23"/>
          <w:lang w:val="en-NZ" w:eastAsia="en-US"/>
        </w:rPr>
        <w:t>ve</w:t>
      </w:r>
      <w:r w:rsidRPr="008E5F58">
        <w:rPr>
          <w:rFonts w:eastAsia="Calibri" w:cs="Arial"/>
          <w:szCs w:val="23"/>
          <w:lang w:val="en-NZ" w:eastAsia="en-US"/>
        </w:rPr>
        <w:t xml:space="preserve"> empowered the government to remove asylum seekers from Australia even where this violates </w:t>
      </w:r>
      <w:r w:rsidRPr="000E571E">
        <w:rPr>
          <w:rFonts w:eastAsia="Calibri" w:cs="Arial"/>
          <w:i/>
          <w:szCs w:val="23"/>
          <w:lang w:val="en-NZ" w:eastAsia="en-US"/>
        </w:rPr>
        <w:t>non-</w:t>
      </w:r>
      <w:proofErr w:type="spellStart"/>
      <w:r w:rsidRPr="000E571E">
        <w:rPr>
          <w:rFonts w:eastAsia="Calibri" w:cs="Arial"/>
          <w:i/>
          <w:szCs w:val="23"/>
          <w:lang w:val="en-NZ" w:eastAsia="en-US"/>
        </w:rPr>
        <w:t>refoulement</w:t>
      </w:r>
      <w:proofErr w:type="spellEnd"/>
      <w:r w:rsidRPr="008E5F58">
        <w:rPr>
          <w:rFonts w:eastAsia="Calibri" w:cs="Arial"/>
          <w:szCs w:val="23"/>
          <w:lang w:val="en-NZ" w:eastAsia="en-US"/>
        </w:rPr>
        <w:t xml:space="preserve"> obligations</w:t>
      </w:r>
      <w:r w:rsidR="00F13DCB">
        <w:rPr>
          <w:rFonts w:eastAsia="Calibri" w:cs="Arial"/>
          <w:szCs w:val="23"/>
          <w:lang w:val="en-NZ" w:eastAsia="en-US"/>
        </w:rPr>
        <w:t xml:space="preserve"> under international law</w:t>
      </w:r>
      <w:r w:rsidRPr="008E5F58">
        <w:rPr>
          <w:rFonts w:eastAsia="Calibri" w:cs="Arial"/>
          <w:szCs w:val="23"/>
          <w:lang w:val="en-NZ" w:eastAsia="en-US"/>
        </w:rPr>
        <w:t>.</w:t>
      </w:r>
      <w:r w:rsidR="004928D9">
        <w:rPr>
          <w:rStyle w:val="EndnoteReference"/>
          <w:rFonts w:eastAsia="Calibri" w:cs="Arial"/>
          <w:szCs w:val="23"/>
          <w:lang w:val="en-NZ" w:eastAsia="en-US"/>
        </w:rPr>
        <w:endnoteReference w:id="8"/>
      </w:r>
      <w:r w:rsidRPr="008E5F58">
        <w:rPr>
          <w:rFonts w:eastAsia="Calibri" w:cs="Arial"/>
          <w:szCs w:val="23"/>
          <w:lang w:val="en-NZ" w:eastAsia="en-US"/>
        </w:rPr>
        <w:t xml:space="preserve"> </w:t>
      </w:r>
      <w:r w:rsidR="006767FB">
        <w:rPr>
          <w:rFonts w:eastAsia="Calibri" w:cs="Arial"/>
          <w:szCs w:val="23"/>
          <w:lang w:val="en-NZ" w:eastAsia="en-US"/>
        </w:rPr>
        <w:t>Under c</w:t>
      </w:r>
      <w:r>
        <w:rPr>
          <w:rFonts w:eastAsia="Calibri" w:cs="Arial"/>
          <w:szCs w:val="23"/>
          <w:lang w:val="en-NZ" w:eastAsia="en-US"/>
        </w:rPr>
        <w:t xml:space="preserve">urrent immigration policy </w:t>
      </w:r>
      <w:r w:rsidR="00041ACA">
        <w:rPr>
          <w:rFonts w:eastAsia="Calibri" w:cs="Arial"/>
          <w:szCs w:val="23"/>
          <w:lang w:val="en-NZ" w:eastAsia="en-US"/>
        </w:rPr>
        <w:t>the g</w:t>
      </w:r>
      <w:r w:rsidR="006767FB">
        <w:rPr>
          <w:rFonts w:eastAsia="Calibri" w:cs="Arial"/>
          <w:szCs w:val="23"/>
          <w:lang w:val="en-NZ" w:eastAsia="en-US"/>
        </w:rPr>
        <w:t xml:space="preserve">overnment </w:t>
      </w:r>
      <w:r>
        <w:rPr>
          <w:rFonts w:eastAsia="Calibri" w:cs="Arial"/>
          <w:szCs w:val="23"/>
          <w:lang w:val="en-NZ" w:eastAsia="en-US"/>
        </w:rPr>
        <w:t xml:space="preserve">uses the Australian navy to turn back boats assumed to be carrying asylum seekers. This may violate </w:t>
      </w:r>
      <w:r w:rsidRPr="000E571E">
        <w:rPr>
          <w:rFonts w:eastAsia="Calibri" w:cs="Arial"/>
          <w:i/>
          <w:szCs w:val="23"/>
          <w:lang w:val="en-NZ" w:eastAsia="en-US"/>
        </w:rPr>
        <w:t>non-</w:t>
      </w:r>
      <w:proofErr w:type="spellStart"/>
      <w:r w:rsidRPr="000E571E">
        <w:rPr>
          <w:rFonts w:eastAsia="Calibri" w:cs="Arial"/>
          <w:i/>
          <w:szCs w:val="23"/>
          <w:lang w:val="en-NZ" w:eastAsia="en-US"/>
        </w:rPr>
        <w:t>refoulement</w:t>
      </w:r>
      <w:proofErr w:type="spellEnd"/>
      <w:r>
        <w:rPr>
          <w:rFonts w:eastAsia="Calibri" w:cs="Arial"/>
          <w:szCs w:val="23"/>
          <w:lang w:val="en-NZ" w:eastAsia="en-US"/>
        </w:rPr>
        <w:t xml:space="preserve"> obligations as the people on board these boats are not properly assessed or processed. </w:t>
      </w:r>
    </w:p>
    <w:p w14:paraId="5018F73E" w14:textId="0551F0A0" w:rsidR="00D90393" w:rsidRDefault="00D90393" w:rsidP="000E571E">
      <w:pPr>
        <w:pStyle w:val="Default"/>
        <w:rPr>
          <w:rFonts w:eastAsia="Calibri"/>
          <w:szCs w:val="23"/>
          <w:lang w:val="en-NZ" w:eastAsia="en-US"/>
        </w:rPr>
      </w:pPr>
      <w:r>
        <w:rPr>
          <w:rFonts w:eastAsia="Calibri"/>
          <w:szCs w:val="23"/>
          <w:lang w:val="en-NZ" w:eastAsia="en-US"/>
        </w:rPr>
        <w:t xml:space="preserve">In 2014, the government passed legislation that </w:t>
      </w:r>
      <w:r w:rsidRPr="008E5F58">
        <w:rPr>
          <w:rFonts w:eastAsia="Calibri"/>
          <w:szCs w:val="23"/>
          <w:lang w:val="en-NZ" w:eastAsia="en-US"/>
        </w:rPr>
        <w:t>remov</w:t>
      </w:r>
      <w:r>
        <w:rPr>
          <w:rFonts w:eastAsia="Calibri"/>
          <w:szCs w:val="23"/>
          <w:lang w:val="en-NZ" w:eastAsia="en-US"/>
        </w:rPr>
        <w:t xml:space="preserve">ed </w:t>
      </w:r>
      <w:r w:rsidRPr="008E5F58">
        <w:rPr>
          <w:rFonts w:eastAsia="Calibri"/>
          <w:szCs w:val="23"/>
          <w:lang w:val="en-NZ" w:eastAsia="en-US"/>
        </w:rPr>
        <w:t>references to the Refugee Convention</w:t>
      </w:r>
      <w:r w:rsidRPr="008E5F58">
        <w:rPr>
          <w:rFonts w:eastAsia="Calibri"/>
          <w:i/>
          <w:szCs w:val="23"/>
          <w:lang w:val="en-NZ" w:eastAsia="en-US"/>
        </w:rPr>
        <w:t xml:space="preserve"> </w:t>
      </w:r>
      <w:r w:rsidRPr="008E5F58">
        <w:rPr>
          <w:rFonts w:eastAsia="Calibri"/>
          <w:szCs w:val="23"/>
          <w:lang w:val="en-NZ" w:eastAsia="en-US"/>
        </w:rPr>
        <w:t xml:space="preserve">from the </w:t>
      </w:r>
      <w:r w:rsidRPr="008E5F58">
        <w:rPr>
          <w:rFonts w:eastAsia="Calibri"/>
          <w:i/>
          <w:szCs w:val="23"/>
          <w:lang w:val="en-NZ" w:eastAsia="en-US"/>
        </w:rPr>
        <w:t xml:space="preserve">Migration Act 1958 </w:t>
      </w:r>
      <w:r w:rsidRPr="008E5F58">
        <w:rPr>
          <w:rFonts w:eastAsia="Calibri"/>
          <w:szCs w:val="23"/>
          <w:lang w:val="en-NZ" w:eastAsia="en-US"/>
        </w:rPr>
        <w:t>(Cth)</w:t>
      </w:r>
      <w:r w:rsidR="007B4E7A">
        <w:rPr>
          <w:rFonts w:eastAsia="Calibri"/>
          <w:szCs w:val="23"/>
          <w:lang w:val="en-NZ" w:eastAsia="en-US"/>
        </w:rPr>
        <w:t xml:space="preserve">, </w:t>
      </w:r>
      <w:r w:rsidR="00E005C8">
        <w:rPr>
          <w:rFonts w:eastAsia="Calibri"/>
          <w:szCs w:val="23"/>
          <w:lang w:val="en-NZ" w:eastAsia="en-US"/>
        </w:rPr>
        <w:t xml:space="preserve">and inserted a </w:t>
      </w:r>
      <w:r w:rsidR="00017C01">
        <w:rPr>
          <w:rFonts w:eastAsia="Calibri"/>
          <w:szCs w:val="23"/>
          <w:lang w:val="en-NZ" w:eastAsia="en-US"/>
        </w:rPr>
        <w:t xml:space="preserve">different, </w:t>
      </w:r>
      <w:r w:rsidR="00E005C8">
        <w:rPr>
          <w:rFonts w:eastAsia="Calibri"/>
          <w:szCs w:val="23"/>
          <w:lang w:val="en-NZ" w:eastAsia="en-US"/>
        </w:rPr>
        <w:t xml:space="preserve">narrower definition of who is a ‘refugee’ than appears in the Convention. That legislation also </w:t>
      </w:r>
      <w:r w:rsidR="007B4E7A">
        <w:rPr>
          <w:rFonts w:eastAsia="Calibri"/>
          <w:szCs w:val="23"/>
          <w:lang w:val="en-NZ" w:eastAsia="en-US"/>
        </w:rPr>
        <w:t xml:space="preserve">placed </w:t>
      </w:r>
      <w:r w:rsidR="007B4E7A" w:rsidRPr="008E5F58">
        <w:rPr>
          <w:rFonts w:eastAsia="Calibri"/>
          <w:szCs w:val="23"/>
          <w:lang w:val="en-NZ" w:eastAsia="en-US"/>
        </w:rPr>
        <w:t xml:space="preserve">limitations on merits review of </w:t>
      </w:r>
      <w:r w:rsidR="007B4E7A">
        <w:rPr>
          <w:rFonts w:eastAsia="Calibri"/>
          <w:szCs w:val="23"/>
          <w:lang w:val="en-NZ" w:eastAsia="en-US"/>
        </w:rPr>
        <w:t xml:space="preserve">refugee </w:t>
      </w:r>
      <w:r w:rsidR="007B4E7A" w:rsidRPr="008E5F58">
        <w:rPr>
          <w:rFonts w:eastAsia="Calibri"/>
          <w:szCs w:val="23"/>
          <w:lang w:val="en-NZ" w:eastAsia="en-US"/>
        </w:rPr>
        <w:t>claims.</w:t>
      </w:r>
      <w:r w:rsidR="007B4E7A">
        <w:rPr>
          <w:rStyle w:val="EndnoteReference"/>
          <w:rFonts w:eastAsia="Calibri"/>
          <w:szCs w:val="23"/>
          <w:lang w:val="en-NZ" w:eastAsia="en-US"/>
        </w:rPr>
        <w:endnoteReference w:id="9"/>
      </w:r>
      <w:r w:rsidR="007B4E7A">
        <w:rPr>
          <w:rFonts w:eastAsia="Calibri"/>
          <w:b/>
          <w:lang w:val="en-NZ" w:eastAsia="en-US"/>
        </w:rPr>
        <w:t xml:space="preserve"> </w:t>
      </w:r>
      <w:r w:rsidR="007B4E7A">
        <w:t xml:space="preserve"> </w:t>
      </w:r>
    </w:p>
    <w:p w14:paraId="68D1DADD" w14:textId="1F048C49" w:rsidR="00D90393" w:rsidRDefault="00D90393" w:rsidP="00D90393">
      <w:r>
        <w:rPr>
          <w:rFonts w:eastAsia="Calibri" w:cs="Arial"/>
          <w:szCs w:val="23"/>
          <w:lang w:val="en-NZ" w:eastAsia="en-US"/>
        </w:rPr>
        <w:t>T</w:t>
      </w:r>
      <w:r w:rsidRPr="008E5F58">
        <w:rPr>
          <w:rFonts w:eastAsia="Calibri" w:cs="Arial"/>
          <w:szCs w:val="23"/>
          <w:lang w:val="en-NZ" w:eastAsia="en-US"/>
        </w:rPr>
        <w:t xml:space="preserve">emporary protection visas </w:t>
      </w:r>
      <w:r>
        <w:rPr>
          <w:rFonts w:eastAsia="Calibri" w:cs="Arial"/>
          <w:szCs w:val="23"/>
          <w:lang w:val="en-NZ" w:eastAsia="en-US"/>
        </w:rPr>
        <w:t>were reintroduced in 2014, which means that asylum seekers in Australia that are found to be refugees will not be granted permanent residency. Temporary protection visas require these refugees to reapply for their protection status every few years.</w:t>
      </w:r>
      <w:r w:rsidR="00EB64E0">
        <w:rPr>
          <w:rStyle w:val="EndnoteReference"/>
          <w:rFonts w:eastAsia="Calibri" w:cs="Arial"/>
          <w:szCs w:val="23"/>
          <w:lang w:val="en-NZ" w:eastAsia="en-US"/>
        </w:rPr>
        <w:endnoteReference w:id="10"/>
      </w:r>
      <w:r>
        <w:rPr>
          <w:rFonts w:eastAsia="Calibri" w:cs="Arial"/>
          <w:szCs w:val="23"/>
          <w:lang w:val="en-NZ" w:eastAsia="en-US"/>
        </w:rPr>
        <w:t xml:space="preserve"> </w:t>
      </w:r>
      <w:r w:rsidR="000E756C">
        <w:rPr>
          <w:lang w:val="en"/>
        </w:rPr>
        <w:t xml:space="preserve">The granting of protection to refugees on a temporary basis, and the resulting uncertainty about their future, had a detrimental impact upon the mental health of TPV holders </w:t>
      </w:r>
      <w:r w:rsidR="000D252E">
        <w:rPr>
          <w:lang w:val="en"/>
        </w:rPr>
        <w:t>when they were last used</w:t>
      </w:r>
      <w:r w:rsidR="000E756C">
        <w:rPr>
          <w:lang w:val="en"/>
        </w:rPr>
        <w:t>.</w:t>
      </w:r>
      <w:r w:rsidR="000E756C">
        <w:rPr>
          <w:rStyle w:val="EndnoteReference"/>
          <w:lang w:val="en"/>
        </w:rPr>
        <w:endnoteReference w:id="11"/>
      </w:r>
      <w:r w:rsidR="000E756C" w:rsidDel="007B4E7A">
        <w:rPr>
          <w:rFonts w:eastAsia="Calibri" w:cs="Arial"/>
          <w:szCs w:val="23"/>
          <w:lang w:val="en-NZ" w:eastAsia="en-US"/>
        </w:rPr>
        <w:t xml:space="preserve"> </w:t>
      </w:r>
    </w:p>
    <w:p w14:paraId="55C64C37" w14:textId="77777777" w:rsidR="00D90393" w:rsidRPr="005B50F7" w:rsidRDefault="00D90393" w:rsidP="00D90393">
      <w:pPr>
        <w:rPr>
          <w:b/>
          <w:sz w:val="28"/>
        </w:rPr>
      </w:pPr>
      <w:r w:rsidRPr="005B50F7">
        <w:rPr>
          <w:b/>
          <w:sz w:val="28"/>
        </w:rPr>
        <w:t xml:space="preserve">Recommendation </w:t>
      </w:r>
    </w:p>
    <w:p w14:paraId="088B7441" w14:textId="35403999" w:rsidR="00732CE4" w:rsidRPr="00D90393" w:rsidRDefault="00D90393" w:rsidP="00D90393">
      <w:r w:rsidRPr="003E6A3A">
        <w:rPr>
          <w:rFonts w:eastAsia="Calibri" w:cs="Arial"/>
          <w:b/>
          <w:i/>
          <w:szCs w:val="23"/>
          <w:lang w:val="en-NZ" w:eastAsia="en-US"/>
        </w:rPr>
        <w:t>Government retain its complementary protection framework</w:t>
      </w:r>
      <w:r>
        <w:rPr>
          <w:rFonts w:eastAsia="Calibri" w:cs="Arial"/>
          <w:b/>
          <w:i/>
          <w:szCs w:val="23"/>
          <w:lang w:val="en-NZ" w:eastAsia="en-US"/>
        </w:rPr>
        <w:t xml:space="preserve"> and</w:t>
      </w:r>
      <w:r w:rsidRPr="003E6A3A">
        <w:rPr>
          <w:rFonts w:eastAsia="Calibri" w:cs="Arial"/>
          <w:b/>
          <w:i/>
          <w:szCs w:val="23"/>
          <w:lang w:val="en-NZ" w:eastAsia="en-US"/>
        </w:rPr>
        <w:t xml:space="preserve"> codify the obligation of non-</w:t>
      </w:r>
      <w:proofErr w:type="spellStart"/>
      <w:r w:rsidRPr="003E6A3A">
        <w:rPr>
          <w:rFonts w:eastAsia="Calibri" w:cs="Arial"/>
          <w:b/>
          <w:i/>
          <w:szCs w:val="23"/>
          <w:lang w:val="en-NZ" w:eastAsia="en-US"/>
        </w:rPr>
        <w:t>refoulement</w:t>
      </w:r>
      <w:proofErr w:type="spellEnd"/>
      <w:r w:rsidRPr="003E6A3A">
        <w:rPr>
          <w:rFonts w:eastAsia="Calibri" w:cs="Arial"/>
          <w:b/>
          <w:i/>
          <w:szCs w:val="23"/>
          <w:lang w:val="en-NZ" w:eastAsia="en-US"/>
        </w:rPr>
        <w:t xml:space="preserve"> in law</w:t>
      </w:r>
      <w:r>
        <w:rPr>
          <w:rFonts w:eastAsia="Calibri" w:cs="Arial"/>
          <w:b/>
          <w:i/>
          <w:szCs w:val="23"/>
          <w:lang w:val="en-NZ" w:eastAsia="en-US"/>
        </w:rPr>
        <w:t xml:space="preserve">. Government </w:t>
      </w:r>
      <w:r w:rsidRPr="003E6A3A">
        <w:rPr>
          <w:rFonts w:eastAsia="Calibri" w:cs="Arial"/>
          <w:b/>
          <w:i/>
          <w:szCs w:val="23"/>
          <w:lang w:val="en-NZ" w:eastAsia="en-US"/>
        </w:rPr>
        <w:t>review the impact of temporary protection visas and restore full access to merits review to all asylum seekers.</w:t>
      </w:r>
    </w:p>
    <w:sectPr w:rsidR="00732CE4" w:rsidRPr="00D90393" w:rsidSect="00C76D13">
      <w:headerReference w:type="default" r:id="rId8"/>
      <w:footerReference w:type="default" r:id="rId9"/>
      <w:headerReference w:type="first" r:id="rId10"/>
      <w:footerReference w:type="first" r:id="rId11"/>
      <w:endnotePr>
        <w:numFmt w:val="decimal"/>
      </w:endnotePr>
      <w:pgSz w:w="11906" w:h="16838" w:code="9"/>
      <w:pgMar w:top="851" w:right="1418" w:bottom="1531" w:left="1418" w:header="17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61615" w14:textId="77777777" w:rsidR="00732CE4" w:rsidRDefault="00732CE4" w:rsidP="00F14C6D">
      <w:r>
        <w:separator/>
      </w:r>
    </w:p>
  </w:endnote>
  <w:endnote w:type="continuationSeparator" w:id="0">
    <w:p w14:paraId="2D1DEC41" w14:textId="77777777" w:rsidR="00732CE4" w:rsidRDefault="00732CE4" w:rsidP="00F14C6D">
      <w:r>
        <w:continuationSeparator/>
      </w:r>
    </w:p>
  </w:endnote>
  <w:endnote w:id="1">
    <w:p w14:paraId="3F537760" w14:textId="4E4AE8F0" w:rsidR="005B14D1" w:rsidRDefault="005B14D1">
      <w:pPr>
        <w:pStyle w:val="EndnoteText"/>
      </w:pPr>
      <w:r>
        <w:rPr>
          <w:rStyle w:val="EndnoteReference"/>
        </w:rPr>
        <w:endnoteRef/>
      </w:r>
      <w:r>
        <w:t xml:space="preserve"> Department of Immigration and Border Protection, </w:t>
      </w:r>
      <w:r w:rsidRPr="005B14D1">
        <w:rPr>
          <w:i/>
        </w:rPr>
        <w:t>Immigration Detention Statistics for 31 May 2015</w:t>
      </w:r>
      <w:r>
        <w:t xml:space="preserve">. At </w:t>
      </w:r>
      <w:hyperlink r:id="rId1" w:history="1">
        <w:r w:rsidRPr="005F0BEF">
          <w:rPr>
            <w:rStyle w:val="Hyperlink"/>
          </w:rPr>
          <w:t>http://www.immi.gov.au/About/Pages/detention/about-immigration-detention.aspx</w:t>
        </w:r>
      </w:hyperlink>
      <w:r>
        <w:t xml:space="preserve"> (viewed 22 June 2015).</w:t>
      </w:r>
    </w:p>
  </w:endnote>
  <w:endnote w:id="2">
    <w:p w14:paraId="6590F196" w14:textId="60E07855" w:rsidR="008B474C" w:rsidRDefault="008B474C" w:rsidP="008B474C">
      <w:pPr>
        <w:pStyle w:val="EndnoteText"/>
      </w:pPr>
      <w:r>
        <w:rPr>
          <w:rStyle w:val="EndnoteReference"/>
        </w:rPr>
        <w:endnoteRef/>
      </w:r>
      <w:r>
        <w:t xml:space="preserve"> </w:t>
      </w:r>
      <w:r w:rsidR="0078141C">
        <w:t xml:space="preserve">See Commonwealth Ombudsman, </w:t>
      </w:r>
      <w:r w:rsidR="0078141C" w:rsidRPr="00FB0852">
        <w:rPr>
          <w:i/>
        </w:rPr>
        <w:t>Suicide and Self-harm in the Immigration Detention Network</w:t>
      </w:r>
      <w:r w:rsidR="0078141C">
        <w:t xml:space="preserve"> (2013), p 150. At </w:t>
      </w:r>
      <w:hyperlink r:id="rId2" w:history="1">
        <w:r w:rsidR="0078141C" w:rsidRPr="006026A5">
          <w:rPr>
            <w:rStyle w:val="Hyperlink"/>
          </w:rPr>
          <w:t>http://www.ombudsman.gov.au/reports/</w:t>
        </w:r>
      </w:hyperlink>
      <w:r w:rsidR="0078141C">
        <w:t xml:space="preserve"> investigation/2013 (viewed 21 March 2015).</w:t>
      </w:r>
      <w:r w:rsidR="00036336">
        <w:t xml:space="preserve"> </w:t>
      </w:r>
      <w:r>
        <w:t xml:space="preserve">This was the overarching finding of the Australian Human Rights Commission’s report: </w:t>
      </w:r>
      <w:r w:rsidRPr="00F54A28">
        <w:rPr>
          <w:i/>
        </w:rPr>
        <w:t>The Forgotten Children: National Inquiry into Children in Immigration Detention 2014</w:t>
      </w:r>
      <w:r>
        <w:t xml:space="preserve"> (2015). At </w:t>
      </w:r>
      <w:hyperlink r:id="rId3" w:history="1">
        <w:r w:rsidRPr="006026A5">
          <w:rPr>
            <w:rStyle w:val="Hyperlink"/>
          </w:rPr>
          <w:t>https://www.humanrights.gov.au/our-work/asylum-seekers-and-refugees/publications/forgotten-children-national-inquiry-children</w:t>
        </w:r>
      </w:hyperlink>
      <w:r>
        <w:t xml:space="preserve"> (viewed 24 June 2015).</w:t>
      </w:r>
    </w:p>
  </w:endnote>
  <w:endnote w:id="3">
    <w:p w14:paraId="43664379" w14:textId="2D215C88" w:rsidR="00FB7959" w:rsidRDefault="00FB7959" w:rsidP="00FB7959">
      <w:pPr>
        <w:pStyle w:val="EndnoteText"/>
      </w:pPr>
      <w:r>
        <w:rPr>
          <w:rStyle w:val="EndnoteReference"/>
        </w:rPr>
        <w:endnoteRef/>
      </w:r>
      <w:r>
        <w:t xml:space="preserve"> Department of Imm</w:t>
      </w:r>
      <w:r w:rsidR="00FC4B8B">
        <w:t>igration and Border Protection, note 1.</w:t>
      </w:r>
    </w:p>
  </w:endnote>
  <w:endnote w:id="4">
    <w:p w14:paraId="15AB2810" w14:textId="0918A49E" w:rsidR="00644651" w:rsidRDefault="00644651">
      <w:pPr>
        <w:pStyle w:val="EndnoteText"/>
      </w:pPr>
      <w:r>
        <w:rPr>
          <w:rStyle w:val="EndnoteReference"/>
        </w:rPr>
        <w:endnoteRef/>
      </w:r>
      <w:r>
        <w:t xml:space="preserve"> See Australian Human Rights Commission, </w:t>
      </w:r>
      <w:r w:rsidRPr="000E571E">
        <w:rPr>
          <w:i/>
        </w:rPr>
        <w:t>Refugees with adverse security assessments</w:t>
      </w:r>
      <w:r>
        <w:t xml:space="preserve">, </w:t>
      </w:r>
      <w:r w:rsidRPr="00644651">
        <w:t>http://www.humanrights.gov.au/our-work/asylum-seekers-and-refugees/projects/refugees-adverse-security-assessments</w:t>
      </w:r>
      <w:r>
        <w:t xml:space="preserve"> (viewed 25 June 2015).</w:t>
      </w:r>
    </w:p>
  </w:endnote>
  <w:endnote w:id="5">
    <w:p w14:paraId="199B44D1" w14:textId="030E5957" w:rsidR="00DB170C" w:rsidRPr="000E571E" w:rsidRDefault="00DB170C" w:rsidP="00DB170C">
      <w:pPr>
        <w:pStyle w:val="EndnoteText"/>
        <w:rPr>
          <w:i/>
        </w:rPr>
      </w:pPr>
      <w:r>
        <w:rPr>
          <w:rStyle w:val="EndnoteReference"/>
        </w:rPr>
        <w:endnoteRef/>
      </w:r>
      <w:r>
        <w:t xml:space="preserve"> United Nations High Commissioner for Refugees (UNHCR), </w:t>
      </w:r>
      <w:r w:rsidRPr="000E571E">
        <w:rPr>
          <w:i/>
        </w:rPr>
        <w:t>UNHCR Mission to the Republic of Nauru, 3–5 December 2012</w:t>
      </w:r>
      <w:r>
        <w:t xml:space="preserve"> (201</w:t>
      </w:r>
      <w:r w:rsidR="000441CB">
        <w:t>2)</w:t>
      </w:r>
      <w:r>
        <w:t xml:space="preserve">; UNHCR, </w:t>
      </w:r>
      <w:r w:rsidRPr="000E571E">
        <w:rPr>
          <w:i/>
        </w:rPr>
        <w:t>UNHCR Monitoring Visit to Manus Island, Papua New Guinea, 11–13 June</w:t>
      </w:r>
      <w:r w:rsidR="000441CB">
        <w:rPr>
          <w:i/>
        </w:rPr>
        <w:t xml:space="preserve"> </w:t>
      </w:r>
      <w:r w:rsidRPr="000E571E">
        <w:rPr>
          <w:i/>
        </w:rPr>
        <w:t>2013</w:t>
      </w:r>
      <w:r w:rsidR="000441CB">
        <w:t xml:space="preserve"> (2013), p 10-11</w:t>
      </w:r>
      <w:r w:rsidR="002D49C3">
        <w:t xml:space="preserve">; </w:t>
      </w:r>
      <w:r w:rsidR="00DF35D0">
        <w:rPr>
          <w:lang w:val="en"/>
        </w:rPr>
        <w:t xml:space="preserve">Senate Legal and Constitutional Affairs References Committee, Australian Parliament, </w:t>
      </w:r>
      <w:r w:rsidR="00DF35D0" w:rsidRPr="000E571E">
        <w:rPr>
          <w:i/>
          <w:lang w:val="en"/>
        </w:rPr>
        <w:t>Incident at the Manus Island Detention Centre from 16 February to 18 February 2014</w:t>
      </w:r>
      <w:r w:rsidR="000441CB">
        <w:rPr>
          <w:lang w:val="en"/>
        </w:rPr>
        <w:t xml:space="preserve"> (2014. At </w:t>
      </w:r>
      <w:r w:rsidR="00DF35D0" w:rsidRPr="00DF35D0">
        <w:rPr>
          <w:lang w:val="en"/>
        </w:rPr>
        <w:t>http://www.aph.gov.au/Parliamentary_Business/Committees/Senate/Legal_and_Constitutional_Affairs/Manus_Island/Report</w:t>
      </w:r>
      <w:r w:rsidR="00DF35D0">
        <w:rPr>
          <w:lang w:val="en"/>
        </w:rPr>
        <w:t xml:space="preserve"> (viewed 25 June 2015);</w:t>
      </w:r>
      <w:r w:rsidR="002670E3">
        <w:rPr>
          <w:lang w:val="en"/>
        </w:rPr>
        <w:t xml:space="preserve"> </w:t>
      </w:r>
      <w:r w:rsidR="00032C89">
        <w:rPr>
          <w:lang w:val="en"/>
        </w:rPr>
        <w:t xml:space="preserve">Philip Moss, </w:t>
      </w:r>
      <w:r w:rsidR="00032C89" w:rsidRPr="000E571E">
        <w:rPr>
          <w:i/>
          <w:lang w:val="en"/>
        </w:rPr>
        <w:t>Review into recent allegations relating to conditions and circumstances at the Regional Processing Centre in Nauru</w:t>
      </w:r>
      <w:r w:rsidR="00032C89">
        <w:rPr>
          <w:i/>
          <w:lang w:val="en"/>
        </w:rPr>
        <w:t>: Final Report</w:t>
      </w:r>
      <w:r w:rsidR="00032C89">
        <w:rPr>
          <w:lang w:val="en"/>
        </w:rPr>
        <w:t xml:space="preserve"> </w:t>
      </w:r>
      <w:r w:rsidR="00032C89">
        <w:t xml:space="preserve">(6 February 2015). At </w:t>
      </w:r>
      <w:r w:rsidR="0054200F">
        <w:t>http://www.immi.gov.au/about/dept-info/nauru.htm</w:t>
      </w:r>
      <w:r w:rsidR="007B14F4">
        <w:rPr>
          <w:i/>
        </w:rPr>
        <w:t xml:space="preserve"> </w:t>
      </w:r>
      <w:r w:rsidR="00032C89">
        <w:t>(viewed 24 June 2015).</w:t>
      </w:r>
    </w:p>
  </w:endnote>
  <w:endnote w:id="6">
    <w:p w14:paraId="0997F4A8" w14:textId="451BC1EC" w:rsidR="00D357D1" w:rsidRDefault="00D357D1">
      <w:pPr>
        <w:pStyle w:val="EndnoteText"/>
      </w:pPr>
      <w:r>
        <w:rPr>
          <w:rStyle w:val="EndnoteReference"/>
        </w:rPr>
        <w:endnoteRef/>
      </w:r>
      <w:r>
        <w:t xml:space="preserve"> </w:t>
      </w:r>
      <w:r>
        <w:rPr>
          <w:lang w:val="en"/>
        </w:rPr>
        <w:t xml:space="preserve">See K </w:t>
      </w:r>
      <w:proofErr w:type="spellStart"/>
      <w:r>
        <w:rPr>
          <w:lang w:val="en"/>
        </w:rPr>
        <w:t>Bem</w:t>
      </w:r>
      <w:proofErr w:type="spellEnd"/>
      <w:r>
        <w:rPr>
          <w:lang w:val="en"/>
        </w:rPr>
        <w:t xml:space="preserve"> </w:t>
      </w:r>
      <w:r>
        <w:rPr>
          <w:rStyle w:val="Emphasis"/>
          <w:lang w:val="en"/>
        </w:rPr>
        <w:t>et al</w:t>
      </w:r>
      <w:r>
        <w:rPr>
          <w:lang w:val="en"/>
        </w:rPr>
        <w:t xml:space="preserve">, </w:t>
      </w:r>
      <w:r>
        <w:rPr>
          <w:rStyle w:val="Emphasis"/>
          <w:lang w:val="en"/>
        </w:rPr>
        <w:t>A price too high: the cost of Australia’s approach to asylum seekers</w:t>
      </w:r>
      <w:r>
        <w:rPr>
          <w:lang w:val="en"/>
        </w:rPr>
        <w:t xml:space="preserve"> (2007), section 3.4. At </w:t>
      </w:r>
      <w:hyperlink r:id="rId4" w:history="1">
        <w:r>
          <w:rPr>
            <w:rStyle w:val="Hyperlink"/>
            <w:lang w:val="en"/>
          </w:rPr>
          <w:t>http://oppenheimer.mcgill.ca/A-Price-Too-High-the-cost-of</w:t>
        </w:r>
      </w:hyperlink>
      <w:r>
        <w:rPr>
          <w:lang w:val="en"/>
        </w:rPr>
        <w:t xml:space="preserve"> (viewed 24 June 2015).</w:t>
      </w:r>
    </w:p>
  </w:endnote>
  <w:endnote w:id="7">
    <w:p w14:paraId="213DABE8" w14:textId="2317351E" w:rsidR="005B14D1" w:rsidRDefault="005B14D1">
      <w:pPr>
        <w:pStyle w:val="EndnoteText"/>
      </w:pPr>
      <w:r>
        <w:rPr>
          <w:rStyle w:val="EndnoteReference"/>
        </w:rPr>
        <w:endnoteRef/>
      </w:r>
      <w:r>
        <w:t xml:space="preserve"> </w:t>
      </w:r>
      <w:r w:rsidR="0070183E">
        <w:t xml:space="preserve">See </w:t>
      </w:r>
      <w:r>
        <w:t xml:space="preserve">Australian Human Rights Commission, </w:t>
      </w:r>
      <w:r w:rsidRPr="005B14D1">
        <w:rPr>
          <w:i/>
        </w:rPr>
        <w:t>The Forgotten Children</w:t>
      </w:r>
      <w:r w:rsidR="002B4CDA">
        <w:rPr>
          <w:i/>
        </w:rPr>
        <w:t xml:space="preserve">, </w:t>
      </w:r>
      <w:r w:rsidR="002B4CDA" w:rsidRPr="000E571E">
        <w:t>note 3</w:t>
      </w:r>
      <w:r w:rsidR="002B4CDA">
        <w:rPr>
          <w:i/>
        </w:rPr>
        <w:t>,</w:t>
      </w:r>
      <w:r w:rsidR="0070183E">
        <w:t xml:space="preserve"> Chapter 12</w:t>
      </w:r>
      <w:r>
        <w:t>.</w:t>
      </w:r>
    </w:p>
  </w:endnote>
  <w:endnote w:id="8">
    <w:p w14:paraId="72486A39" w14:textId="1A4E3C6A" w:rsidR="004928D9" w:rsidRDefault="004928D9">
      <w:pPr>
        <w:pStyle w:val="EndnoteText"/>
      </w:pPr>
      <w:r>
        <w:rPr>
          <w:rStyle w:val="EndnoteReference"/>
        </w:rPr>
        <w:endnoteRef/>
      </w:r>
      <w:r>
        <w:t xml:space="preserve"> </w:t>
      </w:r>
      <w:r w:rsidRPr="00203E04">
        <w:rPr>
          <w:i/>
        </w:rPr>
        <w:t>Migration and Maritime Powers Legislation Amendment (Resolving the Asylum Legacy Caseload) Act 2014</w:t>
      </w:r>
      <w:r>
        <w:t xml:space="preserve"> (Cth).</w:t>
      </w:r>
    </w:p>
  </w:endnote>
  <w:endnote w:id="9">
    <w:p w14:paraId="5280BC07" w14:textId="7D249C1F" w:rsidR="007B4E7A" w:rsidRPr="000E571E" w:rsidRDefault="007B4E7A" w:rsidP="00296F0E">
      <w:pPr>
        <w:pStyle w:val="EndnoteText"/>
        <w:rPr>
          <w:i/>
        </w:rPr>
      </w:pPr>
      <w:r>
        <w:rPr>
          <w:rStyle w:val="EndnoteReference"/>
        </w:rPr>
        <w:endnoteRef/>
      </w:r>
      <w:r>
        <w:t xml:space="preserve"> </w:t>
      </w:r>
      <w:r w:rsidR="00B57570">
        <w:t xml:space="preserve">See </w:t>
      </w:r>
      <w:r w:rsidR="00296F0E">
        <w:t xml:space="preserve">Australian Human Rights Commission, </w:t>
      </w:r>
      <w:r w:rsidR="00296F0E" w:rsidRPr="000E571E">
        <w:rPr>
          <w:i/>
        </w:rPr>
        <w:t>Submission to the Senate Lega</w:t>
      </w:r>
      <w:r w:rsidR="00B6421D" w:rsidRPr="000441CB">
        <w:rPr>
          <w:i/>
        </w:rPr>
        <w:t xml:space="preserve">l </w:t>
      </w:r>
      <w:r w:rsidR="00296F0E" w:rsidRPr="000E571E">
        <w:rPr>
          <w:i/>
        </w:rPr>
        <w:t xml:space="preserve">and Constitutional Affairs Legislation Committee inquiry into the Australian Government’s Migration and Maritime </w:t>
      </w:r>
      <w:r w:rsidR="00296F0E" w:rsidRPr="00296F0E">
        <w:rPr>
          <w:i/>
        </w:rPr>
        <w:t>Powers Legislation</w:t>
      </w:r>
      <w:r w:rsidR="00296F0E">
        <w:rPr>
          <w:i/>
        </w:rPr>
        <w:t xml:space="preserve"> </w:t>
      </w:r>
      <w:r w:rsidR="00296F0E" w:rsidRPr="000E571E">
        <w:rPr>
          <w:i/>
        </w:rPr>
        <w:t>Amendment (Resolving the Asylum Legacy Caseload) Bill 2014 (Cth)</w:t>
      </w:r>
      <w:r w:rsidR="00296F0E">
        <w:t xml:space="preserve"> (31 October 2014). At </w:t>
      </w:r>
      <w:r w:rsidR="00296F0E" w:rsidRPr="00296F0E">
        <w:t>https://www.humanrights.gov.au/submissions/migration-and-maritime-powers-legislation-amendment-resolving-asylum-legacy-caseload</w:t>
      </w:r>
      <w:r w:rsidR="00296F0E">
        <w:t xml:space="preserve"> (viewed 24 June 2015).</w:t>
      </w:r>
    </w:p>
  </w:endnote>
  <w:endnote w:id="10">
    <w:p w14:paraId="2C101EA5" w14:textId="62D89EDE" w:rsidR="00EB64E0" w:rsidRDefault="00EB64E0">
      <w:pPr>
        <w:pStyle w:val="EndnoteText"/>
      </w:pPr>
      <w:r>
        <w:rPr>
          <w:rStyle w:val="EndnoteReference"/>
        </w:rPr>
        <w:endnoteRef/>
      </w:r>
      <w:r>
        <w:t xml:space="preserve"> </w:t>
      </w:r>
      <w:r w:rsidR="002C4007" w:rsidRPr="00203E04">
        <w:rPr>
          <w:i/>
        </w:rPr>
        <w:t>Migration and Maritime Powers Legislation Amendment (Resolving the Asylum Legacy Caseload) Act 2014</w:t>
      </w:r>
      <w:r w:rsidR="002C4007">
        <w:t xml:space="preserve"> (Cth).</w:t>
      </w:r>
    </w:p>
  </w:endnote>
  <w:endnote w:id="11">
    <w:p w14:paraId="00B636FE" w14:textId="35E2870B" w:rsidR="000E756C" w:rsidRDefault="000E756C">
      <w:pPr>
        <w:pStyle w:val="EndnoteText"/>
      </w:pPr>
      <w:r>
        <w:rPr>
          <w:rStyle w:val="EndnoteReference"/>
        </w:rPr>
        <w:endnoteRef/>
      </w:r>
      <w:r>
        <w:t xml:space="preserve"> </w:t>
      </w:r>
      <w:r w:rsidRPr="000E756C">
        <w:t xml:space="preserve">See, for example, Z Steel et al, ‘Two year psychosocial and mental health outcomes for refugees subjected to restrictive or supportive immigration policies’ (2011) 72 </w:t>
      </w:r>
      <w:r w:rsidRPr="000E571E">
        <w:rPr>
          <w:i/>
        </w:rPr>
        <w:t>Social Science &amp; Medicine</w:t>
      </w:r>
      <w:r w:rsidR="00EA275D">
        <w:t xml:space="preserve"> 1149.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3551"/>
      <w:docPartObj>
        <w:docPartGallery w:val="Page Numbers (Bottom of Page)"/>
        <w:docPartUnique/>
      </w:docPartObj>
    </w:sdtPr>
    <w:sdtEndPr>
      <w:rPr>
        <w:noProof/>
      </w:rPr>
    </w:sdtEndPr>
    <w:sdtContent>
      <w:p w14:paraId="5D71D1EB" w14:textId="752DD318" w:rsidR="00835936" w:rsidRDefault="0083593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70BD70A" w14:textId="77777777" w:rsidR="008D6140" w:rsidRPr="0090165F" w:rsidRDefault="008D6140"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68160"/>
      <w:docPartObj>
        <w:docPartGallery w:val="Page Numbers (Bottom of Page)"/>
        <w:docPartUnique/>
      </w:docPartObj>
    </w:sdtPr>
    <w:sdtEndPr>
      <w:rPr>
        <w:noProof/>
      </w:rPr>
    </w:sdtEndPr>
    <w:sdtContent>
      <w:p w14:paraId="2A246A37" w14:textId="1F7DFCF8" w:rsidR="00835936" w:rsidRDefault="0083593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2A0FA1" w14:textId="77777777" w:rsidR="00835936" w:rsidRDefault="00835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2DB7" w14:textId="77777777" w:rsidR="00732CE4" w:rsidRDefault="00732CE4" w:rsidP="00F14C6D">
      <w:r>
        <w:separator/>
      </w:r>
    </w:p>
  </w:footnote>
  <w:footnote w:type="continuationSeparator" w:id="0">
    <w:p w14:paraId="355476AA" w14:textId="77777777" w:rsidR="00732CE4" w:rsidRDefault="00732CE4"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C8A6" w14:textId="77777777"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6" w:type="dxa"/>
      <w:tblLayout w:type="fixed"/>
      <w:tblLook w:val="00A0" w:firstRow="1" w:lastRow="0" w:firstColumn="1" w:lastColumn="0" w:noHBand="0" w:noVBand="0"/>
    </w:tblPr>
    <w:tblGrid>
      <w:gridCol w:w="3936"/>
      <w:gridCol w:w="1876"/>
      <w:gridCol w:w="3114"/>
    </w:tblGrid>
    <w:tr w:rsidR="00F56220" w:rsidRPr="008D1634" w14:paraId="0E25F153" w14:textId="77777777" w:rsidTr="00F56220">
      <w:trPr>
        <w:trHeight w:val="1603"/>
      </w:trPr>
      <w:tc>
        <w:tcPr>
          <w:tcW w:w="3936" w:type="dxa"/>
        </w:tcPr>
        <w:p w14:paraId="0191C09D" w14:textId="77777777" w:rsidR="00F56220" w:rsidRPr="008D1634" w:rsidRDefault="00F56220"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anchor distT="0" distB="0" distL="114300" distR="114300" simplePos="0" relativeHeight="251658240" behindDoc="0" locked="0" layoutInCell="1" allowOverlap="1" wp14:anchorId="2F13975E" wp14:editId="350C10C5">
                <wp:simplePos x="0" y="0"/>
                <wp:positionH relativeFrom="column">
                  <wp:posOffset>20880</wp:posOffset>
                </wp:positionH>
                <wp:positionV relativeFrom="paragraph">
                  <wp:posOffset>590924</wp:posOffset>
                </wp:positionV>
                <wp:extent cx="2362200" cy="809625"/>
                <wp:effectExtent l="0" t="0" r="0" b="9525"/>
                <wp:wrapSquare wrapText="bothSides"/>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p>
      </w:tc>
      <w:tc>
        <w:tcPr>
          <w:tcW w:w="1876" w:type="dxa"/>
          <w:vAlign w:val="center"/>
        </w:tcPr>
        <w:p w14:paraId="4F96F56A" w14:textId="77777777" w:rsidR="00F56220" w:rsidRPr="008D1634" w:rsidRDefault="00F56220" w:rsidP="00331013">
          <w:pPr>
            <w:spacing w:before="0" w:after="0" w:line="210" w:lineRule="exact"/>
            <w:rPr>
              <w:rFonts w:cs="ArialMT"/>
              <w:i/>
              <w:color w:val="808080"/>
              <w:sz w:val="17"/>
              <w:lang w:val="en-US" w:eastAsia="en-US" w:bidi="en-US"/>
            </w:rPr>
          </w:pPr>
        </w:p>
      </w:tc>
      <w:tc>
        <w:tcPr>
          <w:tcW w:w="3114" w:type="dxa"/>
        </w:tcPr>
        <w:p w14:paraId="7722C66C" w14:textId="77777777" w:rsidR="00265A84" w:rsidRDefault="00F56220" w:rsidP="008E06AD">
          <w:pPr>
            <w:pStyle w:val="Header"/>
            <w:jc w:val="right"/>
            <w:rPr>
              <w:sz w:val="20"/>
            </w:rPr>
          </w:pPr>
          <w:r>
            <w:rPr>
              <w:sz w:val="20"/>
            </w:rPr>
            <w:br/>
          </w:r>
        </w:p>
        <w:p w14:paraId="6D51CE0E" w14:textId="0C230C95" w:rsidR="00F56220" w:rsidRPr="003F717E" w:rsidRDefault="00F56220" w:rsidP="008E06AD">
          <w:pPr>
            <w:pStyle w:val="Header"/>
            <w:jc w:val="right"/>
            <w:rPr>
              <w:sz w:val="20"/>
            </w:rPr>
          </w:pPr>
          <w:r w:rsidRPr="00732CE4">
            <w:rPr>
              <w:sz w:val="20"/>
            </w:rPr>
            <w:t>Universal Periodic Review</w:t>
          </w:r>
          <w:r w:rsidRPr="003F717E">
            <w:rPr>
              <w:b/>
              <w:sz w:val="20"/>
            </w:rPr>
            <w:t xml:space="preserve"> </w:t>
          </w:r>
          <w:r>
            <w:rPr>
              <w:b/>
              <w:sz w:val="20"/>
            </w:rPr>
            <w:t xml:space="preserve"> </w:t>
          </w:r>
        </w:p>
        <w:p w14:paraId="765ADFA0" w14:textId="77777777" w:rsidR="00F56220" w:rsidRPr="008D1634" w:rsidRDefault="00F56220" w:rsidP="00C87F1C">
          <w:pPr>
            <w:pStyle w:val="HeaderFooter"/>
            <w:spacing w:before="0" w:after="0"/>
            <w:jc w:val="both"/>
            <w:rPr>
              <w:b/>
              <w:color w:val="000000"/>
              <w:spacing w:val="-20"/>
              <w:sz w:val="40"/>
              <w:lang w:val="en-US" w:eastAsia="en-US" w:bidi="en-US"/>
            </w:rPr>
          </w:pPr>
        </w:p>
      </w:tc>
    </w:tr>
  </w:tbl>
  <w:p w14:paraId="60A7A649" w14:textId="77777777" w:rsidR="008D6140" w:rsidRPr="00F56220" w:rsidRDefault="008D614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72E89"/>
    <w:multiLevelType w:val="hybridMultilevel"/>
    <w:tmpl w:val="DEC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9"/>
  </w:num>
  <w:num w:numId="3">
    <w:abstractNumId w:val="22"/>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BD"/>
    <w:rsid w:val="00000871"/>
    <w:rsid w:val="000163FF"/>
    <w:rsid w:val="00017537"/>
    <w:rsid w:val="00017C01"/>
    <w:rsid w:val="00032C89"/>
    <w:rsid w:val="00036336"/>
    <w:rsid w:val="00041650"/>
    <w:rsid w:val="00041ACA"/>
    <w:rsid w:val="00042D38"/>
    <w:rsid w:val="000441CB"/>
    <w:rsid w:val="000579B1"/>
    <w:rsid w:val="00057E98"/>
    <w:rsid w:val="00081318"/>
    <w:rsid w:val="000A4552"/>
    <w:rsid w:val="000A7AEF"/>
    <w:rsid w:val="000B0A5D"/>
    <w:rsid w:val="000B53EE"/>
    <w:rsid w:val="000D1019"/>
    <w:rsid w:val="000D2366"/>
    <w:rsid w:val="000D252E"/>
    <w:rsid w:val="000E38FA"/>
    <w:rsid w:val="000E571E"/>
    <w:rsid w:val="000E756C"/>
    <w:rsid w:val="001042B7"/>
    <w:rsid w:val="00123209"/>
    <w:rsid w:val="001373D3"/>
    <w:rsid w:val="00142DB0"/>
    <w:rsid w:val="00146157"/>
    <w:rsid w:val="0014641B"/>
    <w:rsid w:val="00157A6A"/>
    <w:rsid w:val="00160DC8"/>
    <w:rsid w:val="00162A8D"/>
    <w:rsid w:val="001662B6"/>
    <w:rsid w:val="001746E1"/>
    <w:rsid w:val="00176220"/>
    <w:rsid w:val="00181378"/>
    <w:rsid w:val="001A072F"/>
    <w:rsid w:val="001B0353"/>
    <w:rsid w:val="001B25B3"/>
    <w:rsid w:val="001B47E3"/>
    <w:rsid w:val="001B749D"/>
    <w:rsid w:val="001C0817"/>
    <w:rsid w:val="001E195B"/>
    <w:rsid w:val="001E26B0"/>
    <w:rsid w:val="001E2C6C"/>
    <w:rsid w:val="001F2BBB"/>
    <w:rsid w:val="00201EFE"/>
    <w:rsid w:val="00213EDF"/>
    <w:rsid w:val="00214DBF"/>
    <w:rsid w:val="00215015"/>
    <w:rsid w:val="00236FB0"/>
    <w:rsid w:val="0024557E"/>
    <w:rsid w:val="00254B64"/>
    <w:rsid w:val="00260A27"/>
    <w:rsid w:val="00265A84"/>
    <w:rsid w:val="002670E3"/>
    <w:rsid w:val="002730D5"/>
    <w:rsid w:val="00287275"/>
    <w:rsid w:val="002932DC"/>
    <w:rsid w:val="00295724"/>
    <w:rsid w:val="00296F0E"/>
    <w:rsid w:val="002B0C07"/>
    <w:rsid w:val="002B222F"/>
    <w:rsid w:val="002B3332"/>
    <w:rsid w:val="002B4CDA"/>
    <w:rsid w:val="002C4007"/>
    <w:rsid w:val="002D0C4F"/>
    <w:rsid w:val="002D49C3"/>
    <w:rsid w:val="002D54E2"/>
    <w:rsid w:val="00310ED4"/>
    <w:rsid w:val="0031492A"/>
    <w:rsid w:val="00316C1A"/>
    <w:rsid w:val="00322F66"/>
    <w:rsid w:val="00331013"/>
    <w:rsid w:val="003341CA"/>
    <w:rsid w:val="00346BAE"/>
    <w:rsid w:val="00362C8E"/>
    <w:rsid w:val="0036758C"/>
    <w:rsid w:val="003731B3"/>
    <w:rsid w:val="00381459"/>
    <w:rsid w:val="003B060B"/>
    <w:rsid w:val="003C0D6D"/>
    <w:rsid w:val="003C3D19"/>
    <w:rsid w:val="003D6CF5"/>
    <w:rsid w:val="003F24E0"/>
    <w:rsid w:val="003F771E"/>
    <w:rsid w:val="00400B70"/>
    <w:rsid w:val="004345F4"/>
    <w:rsid w:val="00436828"/>
    <w:rsid w:val="00444C58"/>
    <w:rsid w:val="0044690C"/>
    <w:rsid w:val="00450B03"/>
    <w:rsid w:val="004510B9"/>
    <w:rsid w:val="004511C1"/>
    <w:rsid w:val="004643D2"/>
    <w:rsid w:val="00474063"/>
    <w:rsid w:val="004928D9"/>
    <w:rsid w:val="004B3F64"/>
    <w:rsid w:val="004D6BC5"/>
    <w:rsid w:val="004E5675"/>
    <w:rsid w:val="005024B5"/>
    <w:rsid w:val="00513540"/>
    <w:rsid w:val="00515494"/>
    <w:rsid w:val="0054200F"/>
    <w:rsid w:val="0057396F"/>
    <w:rsid w:val="005747B5"/>
    <w:rsid w:val="00581351"/>
    <w:rsid w:val="005A331F"/>
    <w:rsid w:val="005A43B4"/>
    <w:rsid w:val="005B14D1"/>
    <w:rsid w:val="005B1BBF"/>
    <w:rsid w:val="005B50D7"/>
    <w:rsid w:val="005D1F34"/>
    <w:rsid w:val="005F36BE"/>
    <w:rsid w:val="005F4789"/>
    <w:rsid w:val="005F7015"/>
    <w:rsid w:val="0060597F"/>
    <w:rsid w:val="0061324D"/>
    <w:rsid w:val="00615C7A"/>
    <w:rsid w:val="00617C13"/>
    <w:rsid w:val="00631CE4"/>
    <w:rsid w:val="00644651"/>
    <w:rsid w:val="00660632"/>
    <w:rsid w:val="006767FB"/>
    <w:rsid w:val="006A6BB3"/>
    <w:rsid w:val="006A6DED"/>
    <w:rsid w:val="006B2544"/>
    <w:rsid w:val="006C4F8D"/>
    <w:rsid w:val="006C6741"/>
    <w:rsid w:val="006D5EE5"/>
    <w:rsid w:val="006E3883"/>
    <w:rsid w:val="0070183E"/>
    <w:rsid w:val="007057BF"/>
    <w:rsid w:val="00732CE4"/>
    <w:rsid w:val="00740E26"/>
    <w:rsid w:val="007606CC"/>
    <w:rsid w:val="00767BA1"/>
    <w:rsid w:val="00770DCB"/>
    <w:rsid w:val="00775485"/>
    <w:rsid w:val="0078141C"/>
    <w:rsid w:val="007B14F4"/>
    <w:rsid w:val="007B4E7A"/>
    <w:rsid w:val="007E6AF7"/>
    <w:rsid w:val="00831EE5"/>
    <w:rsid w:val="00835936"/>
    <w:rsid w:val="00842F83"/>
    <w:rsid w:val="00847E2C"/>
    <w:rsid w:val="00870B73"/>
    <w:rsid w:val="008724DE"/>
    <w:rsid w:val="008B3662"/>
    <w:rsid w:val="008B474C"/>
    <w:rsid w:val="008B4C13"/>
    <w:rsid w:val="008D6140"/>
    <w:rsid w:val="008E06AD"/>
    <w:rsid w:val="008E17B5"/>
    <w:rsid w:val="008E1984"/>
    <w:rsid w:val="008E25DB"/>
    <w:rsid w:val="008E3D60"/>
    <w:rsid w:val="008E675D"/>
    <w:rsid w:val="008F1659"/>
    <w:rsid w:val="0090165F"/>
    <w:rsid w:val="00933490"/>
    <w:rsid w:val="00940209"/>
    <w:rsid w:val="009420D2"/>
    <w:rsid w:val="00944ABD"/>
    <w:rsid w:val="009453A1"/>
    <w:rsid w:val="00945991"/>
    <w:rsid w:val="00966C2F"/>
    <w:rsid w:val="00996397"/>
    <w:rsid w:val="009A3260"/>
    <w:rsid w:val="009A64BF"/>
    <w:rsid w:val="009B6826"/>
    <w:rsid w:val="009C678D"/>
    <w:rsid w:val="009D117B"/>
    <w:rsid w:val="009E79B3"/>
    <w:rsid w:val="00A0406E"/>
    <w:rsid w:val="00A10113"/>
    <w:rsid w:val="00A32F15"/>
    <w:rsid w:val="00A41355"/>
    <w:rsid w:val="00A43B92"/>
    <w:rsid w:val="00A6179E"/>
    <w:rsid w:val="00A9225B"/>
    <w:rsid w:val="00AB209B"/>
    <w:rsid w:val="00AD5BAB"/>
    <w:rsid w:val="00B0666A"/>
    <w:rsid w:val="00B10447"/>
    <w:rsid w:val="00B12FBE"/>
    <w:rsid w:val="00B15F40"/>
    <w:rsid w:val="00B277E0"/>
    <w:rsid w:val="00B53A65"/>
    <w:rsid w:val="00B57570"/>
    <w:rsid w:val="00B6421D"/>
    <w:rsid w:val="00B85799"/>
    <w:rsid w:val="00BA01AD"/>
    <w:rsid w:val="00BA262D"/>
    <w:rsid w:val="00BB6F3E"/>
    <w:rsid w:val="00BD400C"/>
    <w:rsid w:val="00BD6254"/>
    <w:rsid w:val="00BD67FF"/>
    <w:rsid w:val="00BF1C1B"/>
    <w:rsid w:val="00C00698"/>
    <w:rsid w:val="00C00DC8"/>
    <w:rsid w:val="00C25BDA"/>
    <w:rsid w:val="00C445E3"/>
    <w:rsid w:val="00C44DFA"/>
    <w:rsid w:val="00C54AF4"/>
    <w:rsid w:val="00C56696"/>
    <w:rsid w:val="00C62950"/>
    <w:rsid w:val="00C71D32"/>
    <w:rsid w:val="00C76D13"/>
    <w:rsid w:val="00C87F1C"/>
    <w:rsid w:val="00C93002"/>
    <w:rsid w:val="00CA0D78"/>
    <w:rsid w:val="00CD40AC"/>
    <w:rsid w:val="00CE2299"/>
    <w:rsid w:val="00CF1558"/>
    <w:rsid w:val="00D1390E"/>
    <w:rsid w:val="00D31FC3"/>
    <w:rsid w:val="00D357D1"/>
    <w:rsid w:val="00D370F7"/>
    <w:rsid w:val="00D37871"/>
    <w:rsid w:val="00D41630"/>
    <w:rsid w:val="00D41C6C"/>
    <w:rsid w:val="00D41D47"/>
    <w:rsid w:val="00D61575"/>
    <w:rsid w:val="00D65207"/>
    <w:rsid w:val="00D65C76"/>
    <w:rsid w:val="00D65C9F"/>
    <w:rsid w:val="00D90393"/>
    <w:rsid w:val="00D9294A"/>
    <w:rsid w:val="00D92955"/>
    <w:rsid w:val="00DA2F73"/>
    <w:rsid w:val="00DA3677"/>
    <w:rsid w:val="00DA6221"/>
    <w:rsid w:val="00DB170C"/>
    <w:rsid w:val="00DB48AD"/>
    <w:rsid w:val="00DC3107"/>
    <w:rsid w:val="00DC462F"/>
    <w:rsid w:val="00DE047A"/>
    <w:rsid w:val="00DF35D0"/>
    <w:rsid w:val="00DF3E39"/>
    <w:rsid w:val="00E005C8"/>
    <w:rsid w:val="00E013DA"/>
    <w:rsid w:val="00E07CF2"/>
    <w:rsid w:val="00E14A38"/>
    <w:rsid w:val="00E24FA3"/>
    <w:rsid w:val="00E27876"/>
    <w:rsid w:val="00E36030"/>
    <w:rsid w:val="00E36B41"/>
    <w:rsid w:val="00E40137"/>
    <w:rsid w:val="00E40319"/>
    <w:rsid w:val="00E42153"/>
    <w:rsid w:val="00E45954"/>
    <w:rsid w:val="00E555A6"/>
    <w:rsid w:val="00E74C40"/>
    <w:rsid w:val="00EA275D"/>
    <w:rsid w:val="00EB5093"/>
    <w:rsid w:val="00EB64E0"/>
    <w:rsid w:val="00EC6C80"/>
    <w:rsid w:val="00EE50BC"/>
    <w:rsid w:val="00F13DCB"/>
    <w:rsid w:val="00F14C6D"/>
    <w:rsid w:val="00F35487"/>
    <w:rsid w:val="00F56220"/>
    <w:rsid w:val="00F64A9F"/>
    <w:rsid w:val="00F82712"/>
    <w:rsid w:val="00FA6159"/>
    <w:rsid w:val="00FB0852"/>
    <w:rsid w:val="00FB625D"/>
    <w:rsid w:val="00FB7959"/>
    <w:rsid w:val="00FC45E6"/>
    <w:rsid w:val="00FC4B8B"/>
    <w:rsid w:val="00FC5C58"/>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3869B7"/>
  <w15:docId w15:val="{D13DB83A-6B87-4D19-AEEC-4A2062F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93"/>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uiPriority w:val="22"/>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732CE4"/>
    <w:pPr>
      <w:ind w:left="720"/>
      <w:contextualSpacing/>
    </w:pPr>
  </w:style>
  <w:style w:type="character" w:styleId="CommentReference">
    <w:name w:val="annotation reference"/>
    <w:basedOn w:val="DefaultParagraphFont"/>
    <w:semiHidden/>
    <w:unhideWhenUsed/>
    <w:locked/>
    <w:rsid w:val="00D90393"/>
    <w:rPr>
      <w:sz w:val="16"/>
      <w:szCs w:val="16"/>
    </w:rPr>
  </w:style>
  <w:style w:type="paragraph" w:styleId="BalloonText">
    <w:name w:val="Balloon Text"/>
    <w:basedOn w:val="Normal"/>
    <w:link w:val="BalloonTextChar"/>
    <w:semiHidden/>
    <w:unhideWhenUsed/>
    <w:locked/>
    <w:rsid w:val="00D9039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90393"/>
    <w:rPr>
      <w:rFonts w:ascii="Segoe UI" w:hAnsi="Segoe UI" w:cs="Segoe UI"/>
      <w:sz w:val="18"/>
      <w:szCs w:val="18"/>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rFonts w:ascii="Arial" w:hAnsi="Arial"/>
    </w:rPr>
  </w:style>
  <w:style w:type="paragraph" w:styleId="Revision">
    <w:name w:val="Revision"/>
    <w:hidden/>
    <w:uiPriority w:val="99"/>
    <w:semiHidden/>
    <w:rsid w:val="008B474C"/>
    <w:rPr>
      <w:rFonts w:ascii="Arial" w:hAnsi="Arial"/>
      <w:sz w:val="24"/>
      <w:szCs w:val="24"/>
    </w:rPr>
  </w:style>
  <w:style w:type="paragraph" w:customStyle="1" w:styleId="Default">
    <w:name w:val="Default"/>
    <w:rsid w:val="00E005C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locked/>
    <w:rsid w:val="004643D2"/>
    <w:rPr>
      <w:b/>
      <w:bCs/>
    </w:rPr>
  </w:style>
  <w:style w:type="character" w:customStyle="1" w:styleId="CommentSubjectChar">
    <w:name w:val="Comment Subject Char"/>
    <w:basedOn w:val="CommentTextChar"/>
    <w:link w:val="CommentSubject"/>
    <w:semiHidden/>
    <w:rsid w:val="004643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humanrights.gov.au/our-work/asylum-seekers-and-refugees/publications/forgotten-children-national-inquiry-children" TargetMode="External"/><Relationship Id="rId2" Type="http://schemas.openxmlformats.org/officeDocument/2006/relationships/hyperlink" Target="http://www.ombudsman.gov.au/reports/" TargetMode="External"/><Relationship Id="rId1" Type="http://schemas.openxmlformats.org/officeDocument/2006/relationships/hyperlink" Target="http://www.immi.gov.au/About/Pages/detention/about-immigration-detention.aspx" TargetMode="External"/><Relationship Id="rId4" Type="http://schemas.openxmlformats.org/officeDocument/2006/relationships/hyperlink" Target="http://oppenheimer.mcgill.ca/A-Price-Too-High-the-cost-o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0F55-A742-4647-9A37-55F5E83D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Template>
  <TotalTime>393</TotalTime>
  <Pages>3</Pages>
  <Words>782</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Akhil Abraham</dc:creator>
  <cp:lastModifiedBy>Helen Potts</cp:lastModifiedBy>
  <cp:revision>276</cp:revision>
  <cp:lastPrinted>2008-09-11T23:06:00Z</cp:lastPrinted>
  <dcterms:created xsi:type="dcterms:W3CDTF">2015-06-16T02:28:00Z</dcterms:created>
  <dcterms:modified xsi:type="dcterms:W3CDTF">2015-06-26T04:37:00Z</dcterms:modified>
</cp:coreProperties>
</file>