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522EF" w14:textId="71F900DF" w:rsidR="00681F6F" w:rsidRDefault="00681F6F" w:rsidP="00681F6F">
      <w:pPr>
        <w:tabs>
          <w:tab w:val="center" w:pos="2105"/>
        </w:tabs>
        <w:rPr>
          <w:b/>
        </w:rPr>
      </w:pPr>
      <w:r>
        <w:rPr>
          <w:b/>
        </w:rPr>
        <w:tab/>
      </w:r>
    </w:p>
    <w:p w14:paraId="2D0412B3" w14:textId="77777777" w:rsidR="008F2E1C" w:rsidRDefault="00681F6F" w:rsidP="008226D8">
      <w:pPr>
        <w:jc w:val="center"/>
        <w:rPr>
          <w:b/>
          <w:sz w:val="32"/>
          <w:szCs w:val="32"/>
        </w:rPr>
      </w:pPr>
      <w:r>
        <w:rPr>
          <w:b/>
        </w:rPr>
        <w:br w:type="textWrapping" w:clear="all"/>
      </w:r>
    </w:p>
    <w:p w14:paraId="07D80302" w14:textId="77777777" w:rsidR="008F2E1C" w:rsidRDefault="00EB0312" w:rsidP="008F2E1C">
      <w:pPr>
        <w:jc w:val="center"/>
        <w:rPr>
          <w:b/>
          <w:color w:val="1F497D" w:themeColor="text2"/>
          <w:sz w:val="32"/>
          <w:szCs w:val="32"/>
        </w:rPr>
      </w:pPr>
      <w:r w:rsidRPr="008F2E1C">
        <w:rPr>
          <w:b/>
          <w:color w:val="1F497D" w:themeColor="text2"/>
          <w:sz w:val="32"/>
          <w:szCs w:val="32"/>
        </w:rPr>
        <w:t xml:space="preserve">Factsheet: </w:t>
      </w:r>
      <w:r w:rsidR="008226D8" w:rsidRPr="008F2E1C">
        <w:rPr>
          <w:b/>
          <w:color w:val="1F497D" w:themeColor="text2"/>
          <w:sz w:val="32"/>
          <w:szCs w:val="32"/>
        </w:rPr>
        <w:t>Rig</w:t>
      </w:r>
      <w:r w:rsidR="00647078" w:rsidRPr="008F2E1C">
        <w:rPr>
          <w:b/>
          <w:color w:val="1F497D" w:themeColor="text2"/>
          <w:sz w:val="32"/>
          <w:szCs w:val="32"/>
        </w:rPr>
        <w:t>hts of the Child</w:t>
      </w:r>
    </w:p>
    <w:p w14:paraId="6DF74BE3" w14:textId="04F819D4" w:rsidR="00647078" w:rsidRPr="008F2E1C" w:rsidRDefault="00647078" w:rsidP="008F2E1C">
      <w:pPr>
        <w:rPr>
          <w:b/>
          <w:color w:val="1F497D" w:themeColor="text2"/>
          <w:sz w:val="28"/>
          <w:szCs w:val="28"/>
        </w:rPr>
      </w:pPr>
      <w:r w:rsidRPr="008F2E1C">
        <w:rPr>
          <w:b/>
          <w:color w:val="1F497D" w:themeColor="text2"/>
          <w:sz w:val="28"/>
          <w:szCs w:val="28"/>
        </w:rPr>
        <w:t>Background Information</w:t>
      </w:r>
    </w:p>
    <w:p w14:paraId="4327319C" w14:textId="02F59217" w:rsidR="00520AFF" w:rsidRDefault="00706803" w:rsidP="00647078">
      <w:pPr>
        <w:rPr>
          <w:rFonts w:cs="Arial"/>
        </w:rPr>
      </w:pPr>
      <w:r w:rsidRPr="003626B9">
        <w:rPr>
          <w:rFonts w:cs="Arial"/>
        </w:rPr>
        <w:t xml:space="preserve">Since 2011, </w:t>
      </w:r>
      <w:r w:rsidR="00614C7A">
        <w:rPr>
          <w:rFonts w:cs="Arial"/>
        </w:rPr>
        <w:t>Australia has appeared before the UN Committee on the Rights of the Child,</w:t>
      </w:r>
      <w:r w:rsidR="00520AFF">
        <w:rPr>
          <w:rStyle w:val="EndnoteReference"/>
          <w:rFonts w:cs="Arial"/>
        </w:rPr>
        <w:endnoteReference w:id="1"/>
      </w:r>
      <w:r w:rsidR="00520AFF">
        <w:rPr>
          <w:rFonts w:cs="Arial"/>
        </w:rPr>
        <w:t xml:space="preserve"> </w:t>
      </w:r>
      <w:r w:rsidR="00520AFF" w:rsidRPr="003626B9">
        <w:rPr>
          <w:rFonts w:cs="Arial"/>
        </w:rPr>
        <w:t xml:space="preserve">a </w:t>
      </w:r>
      <w:r w:rsidR="00520AFF">
        <w:rPr>
          <w:rFonts w:cs="Arial"/>
        </w:rPr>
        <w:t>National Children’s</w:t>
      </w:r>
      <w:r w:rsidR="00520AFF" w:rsidRPr="003626B9">
        <w:rPr>
          <w:rFonts w:cs="Arial"/>
        </w:rPr>
        <w:t xml:space="preserve"> Commissioner has been established in the Australian Human Rights Commission</w:t>
      </w:r>
      <w:r w:rsidR="00520AFF">
        <w:rPr>
          <w:rFonts w:cs="Arial"/>
        </w:rPr>
        <w:t>,</w:t>
      </w:r>
      <w:r w:rsidR="00520AFF">
        <w:rPr>
          <w:rStyle w:val="EndnoteReference"/>
          <w:rFonts w:cs="Arial"/>
        </w:rPr>
        <w:endnoteReference w:id="2"/>
      </w:r>
      <w:r w:rsidR="00520AFF">
        <w:rPr>
          <w:rFonts w:cs="Arial"/>
        </w:rPr>
        <w:t xml:space="preserve"> the Royal Commission to investigate Institutional Responses to Child Sexual Abuse has been established and extended,</w:t>
      </w:r>
      <w:r w:rsidR="00520AFF">
        <w:rPr>
          <w:rStyle w:val="EndnoteReference"/>
          <w:rFonts w:cs="Arial"/>
        </w:rPr>
        <w:endnoteReference w:id="3"/>
      </w:r>
      <w:r w:rsidR="00520AFF">
        <w:rPr>
          <w:rFonts w:cs="Arial"/>
        </w:rPr>
        <w:t xml:space="preserve"> and the </w:t>
      </w:r>
      <w:r w:rsidR="0053506A">
        <w:rPr>
          <w:rFonts w:cs="Arial"/>
        </w:rPr>
        <w:t>second</w:t>
      </w:r>
      <w:r w:rsidR="00520AFF">
        <w:rPr>
          <w:rFonts w:cs="Arial"/>
        </w:rPr>
        <w:t xml:space="preserve"> three-year action plan under the National Framework for Protecting Australia’s Children 2009-2020 </w:t>
      </w:r>
      <w:r w:rsidR="0053506A">
        <w:rPr>
          <w:rFonts w:cs="Arial"/>
        </w:rPr>
        <w:t>has been implemented</w:t>
      </w:r>
      <w:r w:rsidR="00520AFF">
        <w:rPr>
          <w:rFonts w:cs="Arial"/>
        </w:rPr>
        <w:t>.</w:t>
      </w:r>
      <w:r w:rsidR="00520AFF">
        <w:rPr>
          <w:rStyle w:val="EndnoteReference"/>
          <w:rFonts w:cs="Arial"/>
        </w:rPr>
        <w:endnoteReference w:id="4"/>
      </w:r>
      <w:r w:rsidR="00520AFF">
        <w:rPr>
          <w:rFonts w:cs="Arial"/>
        </w:rPr>
        <w:t xml:space="preserve"> The </w:t>
      </w:r>
      <w:r w:rsidR="00520AFF" w:rsidRPr="00EF018F">
        <w:rPr>
          <w:rFonts w:cs="Arial"/>
          <w:i/>
        </w:rPr>
        <w:t>Family Law Act 1975</w:t>
      </w:r>
      <w:r w:rsidR="00520AFF">
        <w:rPr>
          <w:rFonts w:cs="Arial"/>
        </w:rPr>
        <w:t xml:space="preserve"> (Cth) has also been amended to strengthen protection of the rights of the child, especially in violent situations.</w:t>
      </w:r>
      <w:r w:rsidR="00520AFF">
        <w:rPr>
          <w:rStyle w:val="EndnoteReference"/>
          <w:rFonts w:cs="Arial"/>
        </w:rPr>
        <w:endnoteReference w:id="5"/>
      </w:r>
      <w:r w:rsidR="00520AFF">
        <w:rPr>
          <w:rFonts w:cs="Arial"/>
        </w:rPr>
        <w:t xml:space="preserve"> The Commission congratulates the Government on this positive progress in protecting and promoting the rights of the child.</w:t>
      </w:r>
    </w:p>
    <w:p w14:paraId="51A7081C" w14:textId="6836E77D" w:rsidR="00520AFF" w:rsidRPr="002F25B9" w:rsidRDefault="00520AFF" w:rsidP="00647078">
      <w:pPr>
        <w:rPr>
          <w:sz w:val="28"/>
          <w:szCs w:val="28"/>
        </w:rPr>
      </w:pPr>
      <w:r>
        <w:rPr>
          <w:rFonts w:cs="Arial"/>
        </w:rPr>
        <w:t xml:space="preserve">The National Children’s Commissioner has tabled two annual statutory reports since her appointment. The </w:t>
      </w:r>
      <w:r w:rsidRPr="00D1215F">
        <w:rPr>
          <w:rFonts w:cs="Arial"/>
          <w:i/>
        </w:rPr>
        <w:t>Children’s Rights Report 2013</w:t>
      </w:r>
      <w:r>
        <w:rPr>
          <w:rFonts w:cs="Arial"/>
        </w:rPr>
        <w:t xml:space="preserve"> examined the </w:t>
      </w:r>
      <w:r w:rsidRPr="00D1215F">
        <w:rPr>
          <w:rFonts w:cs="Arial"/>
        </w:rPr>
        <w:t>Convention on the Rights of the Child (CRC) and its implementation in Australia</w:t>
      </w:r>
      <w:r>
        <w:rPr>
          <w:rFonts w:cs="Arial"/>
        </w:rPr>
        <w:t xml:space="preserve">, and referred to the outcomes of the national listening tour, the </w:t>
      </w:r>
      <w:r>
        <w:rPr>
          <w:rFonts w:cs="Arial"/>
          <w:i/>
        </w:rPr>
        <w:t>Big Banter</w:t>
      </w:r>
      <w:r>
        <w:rPr>
          <w:rFonts w:cs="Arial"/>
        </w:rPr>
        <w:t>,</w:t>
      </w:r>
      <w:r>
        <w:rPr>
          <w:rFonts w:cs="Arial"/>
          <w:i/>
        </w:rPr>
        <w:t xml:space="preserve"> </w:t>
      </w:r>
      <w:r>
        <w:rPr>
          <w:rFonts w:cs="Arial"/>
        </w:rPr>
        <w:t>from which the Commissioner identified her priorities for action.</w:t>
      </w:r>
      <w:r>
        <w:rPr>
          <w:rStyle w:val="EndnoteReference"/>
          <w:rFonts w:cs="Arial"/>
        </w:rPr>
        <w:endnoteReference w:id="6"/>
      </w:r>
      <w:r>
        <w:rPr>
          <w:rFonts w:cs="Arial"/>
        </w:rPr>
        <w:t xml:space="preserve"> The </w:t>
      </w:r>
      <w:r>
        <w:rPr>
          <w:rFonts w:cs="Arial"/>
          <w:i/>
        </w:rPr>
        <w:t xml:space="preserve">Children’s Rights Report 2014 </w:t>
      </w:r>
      <w:r>
        <w:rPr>
          <w:rFonts w:cs="Arial"/>
        </w:rPr>
        <w:t>investigated how the human rights of children and young people engaging in intentional self-harm, with or without suicidal intent can be better protected.</w:t>
      </w:r>
      <w:r>
        <w:rPr>
          <w:rStyle w:val="EndnoteReference"/>
          <w:rFonts w:cs="Arial"/>
        </w:rPr>
        <w:endnoteReference w:id="7"/>
      </w:r>
      <w:r>
        <w:rPr>
          <w:rFonts w:cs="Arial"/>
        </w:rPr>
        <w:t xml:space="preserve"> The third statutory report of the Commissioner will investigate the impact of domestic and family violence on children and children and business. The report will be </w:t>
      </w:r>
      <w:r w:rsidR="0053506A">
        <w:rPr>
          <w:rFonts w:cs="Arial"/>
        </w:rPr>
        <w:t>released in</w:t>
      </w:r>
      <w:r>
        <w:rPr>
          <w:rFonts w:cs="Arial"/>
        </w:rPr>
        <w:t xml:space="preserve"> late 2015.</w:t>
      </w:r>
    </w:p>
    <w:p w14:paraId="3FBE3489" w14:textId="77777777" w:rsidR="00520AFF" w:rsidRPr="00265E44" w:rsidRDefault="00520AFF" w:rsidP="00647078">
      <w:pPr>
        <w:rPr>
          <w:b/>
          <w:color w:val="1F497D" w:themeColor="text2"/>
          <w:sz w:val="28"/>
          <w:szCs w:val="28"/>
        </w:rPr>
      </w:pPr>
      <w:r w:rsidRPr="00265E44">
        <w:rPr>
          <w:b/>
          <w:color w:val="1F497D" w:themeColor="text2"/>
          <w:sz w:val="28"/>
          <w:szCs w:val="28"/>
        </w:rPr>
        <w:t>Key Issue – Third Optional Protocol to the CRC</w:t>
      </w:r>
    </w:p>
    <w:p w14:paraId="7EF23545" w14:textId="77777777" w:rsidR="00520AFF" w:rsidRDefault="00520AFF" w:rsidP="00647078">
      <w:r w:rsidRPr="00B2466D">
        <w:t>The Australian Government completed a public consultation into the ratification of the Third Optional Protocol on 10 April 2012.</w:t>
      </w:r>
      <w:r>
        <w:rPr>
          <w:rStyle w:val="EndnoteReference"/>
        </w:rPr>
        <w:endnoteReference w:id="8"/>
      </w:r>
      <w:r>
        <w:t xml:space="preserve"> As yet the Australian Government has not formed a formal position on the Third Optional Protocol. </w:t>
      </w:r>
    </w:p>
    <w:p w14:paraId="2CF29F8A" w14:textId="77777777" w:rsidR="00520AFF" w:rsidRPr="00265E44" w:rsidRDefault="00520AFF" w:rsidP="00647078">
      <w:pPr>
        <w:rPr>
          <w:b/>
          <w:color w:val="1F497D" w:themeColor="text2"/>
          <w:sz w:val="28"/>
          <w:szCs w:val="28"/>
        </w:rPr>
      </w:pPr>
      <w:r w:rsidRPr="00265E44">
        <w:rPr>
          <w:b/>
          <w:color w:val="1F497D" w:themeColor="text2"/>
          <w:sz w:val="28"/>
          <w:szCs w:val="28"/>
        </w:rPr>
        <w:t>Recommendation</w:t>
      </w:r>
    </w:p>
    <w:p w14:paraId="63440802" w14:textId="51ABB282" w:rsidR="0030508A" w:rsidRDefault="00520AFF" w:rsidP="00647078">
      <w:pPr>
        <w:rPr>
          <w:b/>
          <w:i/>
        </w:rPr>
      </w:pPr>
      <w:r>
        <w:rPr>
          <w:b/>
          <w:i/>
        </w:rPr>
        <w:t xml:space="preserve">The Australian </w:t>
      </w:r>
      <w:r w:rsidR="001177F6">
        <w:rPr>
          <w:b/>
          <w:i/>
        </w:rPr>
        <w:t xml:space="preserve">Government </w:t>
      </w:r>
      <w:r>
        <w:rPr>
          <w:b/>
          <w:i/>
        </w:rPr>
        <w:t>develop a formal view on the Third Optional Protocol as a matter of priority</w:t>
      </w:r>
      <w:r w:rsidR="0053506A">
        <w:rPr>
          <w:b/>
          <w:i/>
        </w:rPr>
        <w:t>.</w:t>
      </w:r>
    </w:p>
    <w:p w14:paraId="66243C33" w14:textId="77777777" w:rsidR="008F2E1C" w:rsidRDefault="008F2E1C" w:rsidP="00647078">
      <w:pPr>
        <w:rPr>
          <w:b/>
          <w:i/>
        </w:rPr>
      </w:pPr>
    </w:p>
    <w:p w14:paraId="33788464" w14:textId="77777777" w:rsidR="008F2E1C" w:rsidRPr="008F2E1C" w:rsidRDefault="008F2E1C" w:rsidP="00647078">
      <w:pPr>
        <w:rPr>
          <w:b/>
        </w:rPr>
        <w:sectPr w:rsidR="008F2E1C" w:rsidRPr="008F2E1C" w:rsidSect="00CE7182">
          <w:headerReference w:type="default" r:id="rId8"/>
          <w:footerReference w:type="default" r:id="rId9"/>
          <w:endnotePr>
            <w:numFmt w:val="decimal"/>
          </w:endnotePr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14:paraId="72DF3431" w14:textId="3D222DCE" w:rsidR="00520AFF" w:rsidRDefault="00520AFF" w:rsidP="00647078">
      <w:pPr>
        <w:rPr>
          <w:b/>
          <w:i/>
        </w:rPr>
      </w:pPr>
    </w:p>
    <w:p w14:paraId="77E22B71" w14:textId="77777777" w:rsidR="00520AFF" w:rsidRPr="00265E44" w:rsidRDefault="00520AFF" w:rsidP="00647078">
      <w:pPr>
        <w:rPr>
          <w:b/>
          <w:color w:val="1F497D" w:themeColor="text2"/>
          <w:sz w:val="28"/>
          <w:szCs w:val="28"/>
        </w:rPr>
      </w:pPr>
      <w:r w:rsidRPr="00265E44">
        <w:rPr>
          <w:b/>
          <w:color w:val="1F497D" w:themeColor="text2"/>
          <w:sz w:val="28"/>
          <w:szCs w:val="28"/>
        </w:rPr>
        <w:t>Key Issue – Children in out of home care</w:t>
      </w:r>
    </w:p>
    <w:p w14:paraId="3AA980C4" w14:textId="77777777" w:rsidR="00EF018F" w:rsidRDefault="00520AFF" w:rsidP="00647078">
      <w:r>
        <w:t xml:space="preserve">The Productivity Commission produces an </w:t>
      </w:r>
      <w:r w:rsidRPr="008453BE">
        <w:t xml:space="preserve">annual Report on Government Services </w:t>
      </w:r>
      <w:r>
        <w:t xml:space="preserve">which </w:t>
      </w:r>
      <w:r w:rsidRPr="008453BE">
        <w:t>provides information on the equity, effectiveness and efficiency of government services in Australia.</w:t>
      </w:r>
      <w:r>
        <w:rPr>
          <w:rStyle w:val="EndnoteReference"/>
        </w:rPr>
        <w:endnoteReference w:id="9"/>
      </w:r>
      <w:r>
        <w:t xml:space="preserve"> </w:t>
      </w:r>
      <w:r w:rsidRPr="008453BE">
        <w:t xml:space="preserve">The </w:t>
      </w:r>
      <w:r>
        <w:t xml:space="preserve">Report reveals that the </w:t>
      </w:r>
      <w:r w:rsidRPr="008453BE">
        <w:t xml:space="preserve">number and rate of </w:t>
      </w:r>
      <w:r>
        <w:t xml:space="preserve">Aboriginal and Torres Strait Islander children and non-Indigenous </w:t>
      </w:r>
      <w:r w:rsidRPr="008453BE">
        <w:t xml:space="preserve">children aged 0–17 years in out-of-home care has increased </w:t>
      </w:r>
      <w:r>
        <w:t xml:space="preserve">progressively </w:t>
      </w:r>
      <w:r w:rsidRPr="008453BE">
        <w:t>since 2</w:t>
      </w:r>
      <w:r>
        <w:t>009</w:t>
      </w:r>
      <w:r w:rsidRPr="008453BE">
        <w:t>.</w:t>
      </w:r>
      <w:r>
        <w:rPr>
          <w:rStyle w:val="EndnoteReference"/>
        </w:rPr>
        <w:endnoteReference w:id="10"/>
      </w:r>
      <w:r w:rsidRPr="008453BE">
        <w:t xml:space="preserve"> </w:t>
      </w:r>
      <w:r>
        <w:t>Nationally, 14 991 Aboriginal and Torres Strait Islander children and 27 827 non-Indigenous children were in out-of-home care at 30 June 2014. In 2009 the numbers were 11, 468 and 24,279 respectively. The rate of children in out-of-home care per 1000 children was 51.4 for Aboriginal and Torres Strait Islander children and 5.6 for non-Indigenous children.</w:t>
      </w:r>
      <w:r>
        <w:rPr>
          <w:rStyle w:val="EndnoteReference"/>
        </w:rPr>
        <w:endnoteReference w:id="11"/>
      </w:r>
      <w:r>
        <w:t xml:space="preserve"> </w:t>
      </w:r>
    </w:p>
    <w:p w14:paraId="13BDBCA4" w14:textId="77777777" w:rsidR="00EF018F" w:rsidRPr="00265E44" w:rsidRDefault="00EF018F" w:rsidP="00647078">
      <w:pPr>
        <w:rPr>
          <w:b/>
          <w:sz w:val="28"/>
          <w:szCs w:val="28"/>
        </w:rPr>
      </w:pPr>
      <w:r w:rsidRPr="00265E44">
        <w:rPr>
          <w:b/>
          <w:color w:val="1F497D" w:themeColor="text2"/>
          <w:sz w:val="28"/>
          <w:szCs w:val="28"/>
        </w:rPr>
        <w:t>Recommendation</w:t>
      </w:r>
    </w:p>
    <w:p w14:paraId="70FAA675" w14:textId="77777777" w:rsidR="00EF018F" w:rsidRDefault="00EF018F" w:rsidP="00647078">
      <w:pPr>
        <w:rPr>
          <w:b/>
          <w:i/>
        </w:rPr>
      </w:pPr>
      <w:r>
        <w:rPr>
          <w:b/>
          <w:i/>
        </w:rPr>
        <w:t>The Government strengthen early intervention programs that support vulnerable families and improve data collection relating to child protection and out-of-home care.</w:t>
      </w:r>
    </w:p>
    <w:p w14:paraId="24033EF1" w14:textId="77777777" w:rsidR="00DF4FEC" w:rsidRPr="00265E44" w:rsidRDefault="00DF4FEC" w:rsidP="00DF4FEC">
      <w:pPr>
        <w:rPr>
          <w:b/>
          <w:color w:val="1F497D" w:themeColor="text2"/>
          <w:sz w:val="28"/>
          <w:szCs w:val="28"/>
        </w:rPr>
      </w:pPr>
      <w:r w:rsidRPr="00265E44">
        <w:rPr>
          <w:b/>
          <w:color w:val="1F497D" w:themeColor="text2"/>
          <w:sz w:val="28"/>
          <w:szCs w:val="28"/>
        </w:rPr>
        <w:t>Key Issue – Child offenders in adult prisons</w:t>
      </w:r>
    </w:p>
    <w:p w14:paraId="2B92766C" w14:textId="77777777" w:rsidR="00DF4FEC" w:rsidRDefault="00DF4FEC" w:rsidP="00DF4FEC">
      <w:r>
        <w:t>C</w:t>
      </w:r>
      <w:r w:rsidRPr="00F53230">
        <w:t xml:space="preserve">hild offenders </w:t>
      </w:r>
      <w:r>
        <w:t xml:space="preserve">have </w:t>
      </w:r>
      <w:r w:rsidRPr="00F53230">
        <w:t xml:space="preserve">sometimes </w:t>
      </w:r>
      <w:r>
        <w:t xml:space="preserve">been </w:t>
      </w:r>
      <w:r w:rsidRPr="00F53230">
        <w:t xml:space="preserve">held in the same correctional centres as adults. </w:t>
      </w:r>
      <w:r w:rsidRPr="00840E6D">
        <w:rPr>
          <w:rFonts w:cs="Arial"/>
        </w:rPr>
        <w:t>In particular, children have been held in adult detention facilities in Western Australia and Victoria. These transfers have been examined through litigation in which the Commission intervened</w:t>
      </w:r>
      <w:r>
        <w:rPr>
          <w:rFonts w:cs="Arial"/>
        </w:rPr>
        <w:t>.</w:t>
      </w:r>
      <w:r w:rsidRPr="00F53230">
        <w:rPr>
          <w:vertAlign w:val="superscript"/>
        </w:rPr>
        <w:endnoteReference w:id="12"/>
      </w:r>
      <w:r>
        <w:rPr>
          <w:rFonts w:cs="Arial"/>
        </w:rPr>
        <w:t xml:space="preserve"> </w:t>
      </w:r>
      <w:r w:rsidRPr="00840E6D">
        <w:rPr>
          <w:rFonts w:cs="Arial"/>
        </w:rPr>
        <w:t xml:space="preserve">The National Children Commissioner raised this concern in her inaugural </w:t>
      </w:r>
      <w:r>
        <w:rPr>
          <w:rFonts w:cs="Arial"/>
        </w:rPr>
        <w:t>Children’s Rights Report 2013.</w:t>
      </w:r>
      <w:r>
        <w:rPr>
          <w:rStyle w:val="EndnoteReference"/>
          <w:rFonts w:cs="Arial"/>
        </w:rPr>
        <w:endnoteReference w:id="13"/>
      </w:r>
      <w:r>
        <w:rPr>
          <w:rFonts w:cs="Arial"/>
        </w:rPr>
        <w:t xml:space="preserve"> </w:t>
      </w:r>
      <w:r w:rsidRPr="00F53230">
        <w:t>The Commission notes that some jurisdictions have progressed the use of non-custodial measures and strengthened dive</w:t>
      </w:r>
      <w:bookmarkStart w:id="0" w:name="_GoBack"/>
      <w:bookmarkEnd w:id="0"/>
      <w:r w:rsidRPr="00F53230">
        <w:t>rsionary programs.</w:t>
      </w:r>
      <w:r w:rsidRPr="00F53230">
        <w:rPr>
          <w:vertAlign w:val="superscript"/>
        </w:rPr>
        <w:endnoteReference w:id="14"/>
      </w:r>
    </w:p>
    <w:p w14:paraId="2CD5E307" w14:textId="77777777" w:rsidR="00DF4FEC" w:rsidRPr="00265E44" w:rsidRDefault="00DF4FEC" w:rsidP="00DF4FEC">
      <w:pPr>
        <w:rPr>
          <w:b/>
          <w:color w:val="1F497D" w:themeColor="text2"/>
          <w:sz w:val="28"/>
          <w:szCs w:val="28"/>
        </w:rPr>
      </w:pPr>
      <w:r w:rsidRPr="00265E44">
        <w:rPr>
          <w:b/>
          <w:color w:val="1F497D" w:themeColor="text2"/>
          <w:sz w:val="28"/>
          <w:szCs w:val="28"/>
        </w:rPr>
        <w:t>Recommendation</w:t>
      </w:r>
    </w:p>
    <w:p w14:paraId="17704C3F" w14:textId="77777777" w:rsidR="003E1959" w:rsidRDefault="00DF4FEC" w:rsidP="00DF4FEC">
      <w:pPr>
        <w:rPr>
          <w:b/>
          <w:i/>
        </w:rPr>
        <w:sectPr w:rsidR="003E1959" w:rsidSect="00CE7182">
          <w:headerReference w:type="default" r:id="rId10"/>
          <w:endnotePr>
            <w:numFmt w:val="decimal"/>
          </w:endnotePr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  <w:r w:rsidRPr="00793676">
        <w:rPr>
          <w:b/>
          <w:i/>
        </w:rPr>
        <w:t>The Commission recommends that Australian governments expand the use of diversionary programs for juveniles, raise the minimum age of criminal responsibility and cease detention of children in adult facilities.</w:t>
      </w:r>
    </w:p>
    <w:p w14:paraId="2249A6CD" w14:textId="31C2C0EF" w:rsidR="00DF4FEC" w:rsidRPr="00DF4FEC" w:rsidRDefault="00DF4FEC" w:rsidP="00DF4FEC">
      <w:pPr>
        <w:rPr>
          <w:b/>
          <w:sz w:val="28"/>
          <w:szCs w:val="28"/>
        </w:rPr>
      </w:pPr>
    </w:p>
    <w:sectPr w:rsidR="00DF4FEC" w:rsidRPr="00DF4FEC" w:rsidSect="00CE7182"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74AB6" w14:textId="77777777" w:rsidR="00150BDB" w:rsidRDefault="00150BDB" w:rsidP="00F14C6D">
      <w:r>
        <w:separator/>
      </w:r>
    </w:p>
  </w:endnote>
  <w:endnote w:type="continuationSeparator" w:id="0">
    <w:p w14:paraId="0A17E39C" w14:textId="77777777" w:rsidR="00150BDB" w:rsidRDefault="00150BDB" w:rsidP="00F14C6D">
      <w:r>
        <w:continuationSeparator/>
      </w:r>
    </w:p>
  </w:endnote>
  <w:endnote w:id="1">
    <w:p w14:paraId="34294BCB" w14:textId="77777777" w:rsidR="00520AFF" w:rsidRDefault="00520AFF">
      <w:pPr>
        <w:pStyle w:val="EndnoteText"/>
      </w:pPr>
      <w:r>
        <w:rPr>
          <w:rStyle w:val="EndnoteReference"/>
        </w:rPr>
        <w:endnoteRef/>
      </w:r>
      <w:r>
        <w:t xml:space="preserve"> United Nations Committee on the Rights of the Child, </w:t>
      </w:r>
    </w:p>
  </w:endnote>
  <w:endnote w:id="2">
    <w:p w14:paraId="2F4D8017" w14:textId="77777777" w:rsidR="00520AFF" w:rsidRPr="00391382" w:rsidRDefault="00520AF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91382">
        <w:rPr>
          <w:rFonts w:cs="Arial"/>
        </w:rPr>
        <w:t>Australian Human Rights Commission, ‘Commission welcomes inaugural Children’s Commissioner’,</w:t>
      </w:r>
      <w:r w:rsidRPr="00391382">
        <w:rPr>
          <w:rFonts w:cs="Arial"/>
          <w:i/>
        </w:rPr>
        <w:t xml:space="preserve"> </w:t>
      </w:r>
      <w:r w:rsidRPr="00391382">
        <w:rPr>
          <w:rFonts w:cs="Arial"/>
        </w:rPr>
        <w:t>(Media Release, 25 February 2013)</w:t>
      </w:r>
      <w:r w:rsidRPr="00391382">
        <w:t xml:space="preserve">. At </w:t>
      </w:r>
      <w:hyperlink r:id="rId1" w:history="1">
        <w:r w:rsidRPr="00391382">
          <w:rPr>
            <w:rStyle w:val="Hyperlink"/>
          </w:rPr>
          <w:t>https://www.humanrights.gov.au/news/media-releases/commission-welcomes-inaugural-children-s-commissioner</w:t>
        </w:r>
      </w:hyperlink>
      <w:r w:rsidRPr="00391382">
        <w:t xml:space="preserve"> (viewed 17 June 2015).</w:t>
      </w:r>
    </w:p>
  </w:endnote>
  <w:endnote w:id="3">
    <w:p w14:paraId="4B37C7EC" w14:textId="77777777" w:rsidR="00520AFF" w:rsidRPr="00391382" w:rsidRDefault="00520AFF">
      <w:pPr>
        <w:pStyle w:val="EndnoteText"/>
      </w:pPr>
      <w:r w:rsidRPr="00391382">
        <w:rPr>
          <w:rStyle w:val="EndnoteReference"/>
        </w:rPr>
        <w:endnoteRef/>
      </w:r>
      <w:r w:rsidRPr="00391382">
        <w:t xml:space="preserve"> Attorney-General for Australia, Minister for the Arts and Minister for Social Services, ‘Child Abuse Royal Commission granted a two year extension’, (Media Release 2 September 2014). At </w:t>
      </w:r>
      <w:hyperlink r:id="rId2" w:history="1">
        <w:r w:rsidRPr="00391382">
          <w:rPr>
            <w:rStyle w:val="Hyperlink"/>
          </w:rPr>
          <w:t>http://www.attorneygeneral.gov.au/Mediareleases/Pages/2014/ThirdQuarter/2September2014-ChildAbuseRoyalCommissionGrantedATwoYearExtension.aspx</w:t>
        </w:r>
      </w:hyperlink>
      <w:r w:rsidRPr="00391382">
        <w:t xml:space="preserve">   (viewed 17 June 2015).</w:t>
      </w:r>
    </w:p>
  </w:endnote>
  <w:endnote w:id="4">
    <w:p w14:paraId="35FD9335" w14:textId="77777777" w:rsidR="00520AFF" w:rsidRPr="00391382" w:rsidRDefault="00520AFF">
      <w:pPr>
        <w:pStyle w:val="EndnoteText"/>
      </w:pPr>
      <w:r w:rsidRPr="00391382">
        <w:rPr>
          <w:rStyle w:val="EndnoteReference"/>
        </w:rPr>
        <w:endnoteRef/>
      </w:r>
      <w:r w:rsidRPr="00391382">
        <w:t xml:space="preserve"> </w:t>
      </w:r>
      <w:r w:rsidRPr="00391382">
        <w:rPr>
          <w:i/>
        </w:rPr>
        <w:t xml:space="preserve">Centre for Excellence </w:t>
      </w:r>
      <w:r w:rsidRPr="00391382">
        <w:t xml:space="preserve">in Child and Family Welfare Inc., </w:t>
      </w:r>
      <w:r w:rsidRPr="00391382">
        <w:rPr>
          <w:i/>
        </w:rPr>
        <w:t>National Framework for Protecting Australia's Children</w:t>
      </w:r>
      <w:r w:rsidRPr="00391382">
        <w:t xml:space="preserve">. At </w:t>
      </w:r>
      <w:hyperlink r:id="rId3" w:history="1">
        <w:r w:rsidRPr="00391382">
          <w:rPr>
            <w:rStyle w:val="Hyperlink"/>
          </w:rPr>
          <w:t>http://www.cfecfw.asn.au/news/2015/03/national-framework-protecting-australias-children</w:t>
        </w:r>
      </w:hyperlink>
      <w:r w:rsidRPr="00391382">
        <w:t xml:space="preserve"> (viewed 17 June 2015).</w:t>
      </w:r>
    </w:p>
  </w:endnote>
  <w:endnote w:id="5">
    <w:p w14:paraId="5C05365D" w14:textId="77777777" w:rsidR="00520AFF" w:rsidRDefault="00520AFF">
      <w:pPr>
        <w:pStyle w:val="EndnoteText"/>
      </w:pPr>
      <w:r>
        <w:rPr>
          <w:rStyle w:val="EndnoteReference"/>
        </w:rPr>
        <w:endnoteRef/>
      </w:r>
      <w:r>
        <w:t xml:space="preserve"> The </w:t>
      </w:r>
      <w:r w:rsidRPr="009D62FD">
        <w:rPr>
          <w:i/>
        </w:rPr>
        <w:t>Family Law Legislation Amendment (Family Violence and Other Measures) Act 2011</w:t>
      </w:r>
      <w:r>
        <w:t xml:space="preserve"> (Cth) introduced changes to the </w:t>
      </w:r>
      <w:r w:rsidRPr="009D62FD">
        <w:rPr>
          <w:i/>
        </w:rPr>
        <w:t>Family Law Act 1975</w:t>
      </w:r>
      <w:r>
        <w:t xml:space="preserve"> (Cth) that better ensure the safety of children by expanding the definition of ‘family violence’ to include socially and financially controlling behaviour and exposing a child to family violence and making it easier for victims to report violence.</w:t>
      </w:r>
    </w:p>
  </w:endnote>
  <w:endnote w:id="6">
    <w:p w14:paraId="4F036D05" w14:textId="77777777" w:rsidR="00520AFF" w:rsidRPr="00391382" w:rsidRDefault="00520AFF">
      <w:pPr>
        <w:pStyle w:val="EndnoteText"/>
      </w:pPr>
      <w:r w:rsidRPr="00391382">
        <w:rPr>
          <w:rStyle w:val="EndnoteReference"/>
        </w:rPr>
        <w:endnoteRef/>
      </w:r>
      <w:r w:rsidRPr="00391382">
        <w:t xml:space="preserve"> Australian Human Rights Commission, </w:t>
      </w:r>
      <w:r w:rsidRPr="00391382">
        <w:rPr>
          <w:i/>
        </w:rPr>
        <w:t>Children’s Rights Report 2013</w:t>
      </w:r>
      <w:r w:rsidRPr="00391382">
        <w:t xml:space="preserve">. At </w:t>
      </w:r>
      <w:hyperlink r:id="rId4" w:history="1">
        <w:r w:rsidRPr="00391382">
          <w:rPr>
            <w:rStyle w:val="Hyperlink"/>
          </w:rPr>
          <w:t>https://www.humanrights.gov.au/our-work/childrens-rights/publications/childrens-rights-report-2013</w:t>
        </w:r>
      </w:hyperlink>
      <w:r w:rsidRPr="00391382">
        <w:t xml:space="preserve"> (viewed 17 June 2015).</w:t>
      </w:r>
    </w:p>
  </w:endnote>
  <w:endnote w:id="7">
    <w:p w14:paraId="517A2D7C" w14:textId="77777777" w:rsidR="00520AFF" w:rsidRPr="00391382" w:rsidRDefault="00520AFF">
      <w:pPr>
        <w:pStyle w:val="EndnoteText"/>
      </w:pPr>
      <w:r w:rsidRPr="00391382">
        <w:rPr>
          <w:rStyle w:val="EndnoteReference"/>
        </w:rPr>
        <w:endnoteRef/>
      </w:r>
      <w:r w:rsidRPr="00391382">
        <w:t xml:space="preserve"> Australian Human Rights Commission, </w:t>
      </w:r>
      <w:r w:rsidRPr="00391382">
        <w:rPr>
          <w:i/>
        </w:rPr>
        <w:t>Children’s Rights Report 2014</w:t>
      </w:r>
      <w:r w:rsidRPr="00391382">
        <w:t xml:space="preserve">. At </w:t>
      </w:r>
      <w:hyperlink r:id="rId5" w:history="1">
        <w:r w:rsidRPr="00391382">
          <w:rPr>
            <w:rStyle w:val="Hyperlink"/>
          </w:rPr>
          <w:t>https://www.humanrights.gov.au/our-work/childrens-rights/publications/childrens-rights-report-2014</w:t>
        </w:r>
      </w:hyperlink>
      <w:r w:rsidRPr="00391382">
        <w:t xml:space="preserve"> (viewed 17 June 2015).</w:t>
      </w:r>
    </w:p>
  </w:endnote>
  <w:endnote w:id="8">
    <w:p w14:paraId="572FD1A0" w14:textId="0A4F580F" w:rsidR="00520AFF" w:rsidRPr="00391382" w:rsidRDefault="00520AFF">
      <w:pPr>
        <w:pStyle w:val="EndnoteText"/>
      </w:pPr>
      <w:r w:rsidRPr="00391382">
        <w:rPr>
          <w:rStyle w:val="EndnoteReference"/>
        </w:rPr>
        <w:endnoteRef/>
      </w:r>
      <w:r w:rsidRPr="00391382">
        <w:t xml:space="preserve"> </w:t>
      </w:r>
      <w:r w:rsidR="000F7FA3">
        <w:t xml:space="preserve">Attorney-General’s Department, </w:t>
      </w:r>
      <w:r w:rsidR="000F7FA3">
        <w:rPr>
          <w:i/>
        </w:rPr>
        <w:t xml:space="preserve">Human Rights Treaty Body Reporting - </w:t>
      </w:r>
      <w:r w:rsidR="000F7FA3" w:rsidRPr="000F7FA3">
        <w:rPr>
          <w:i/>
        </w:rPr>
        <w:t>Convention on the Rights of the Child and its two Optional Protocols</w:t>
      </w:r>
      <w:r w:rsidR="000F7FA3">
        <w:rPr>
          <w:i/>
        </w:rPr>
        <w:t>.</w:t>
      </w:r>
      <w:r w:rsidR="000E3611">
        <w:rPr>
          <w:i/>
        </w:rPr>
        <w:t xml:space="preserve"> </w:t>
      </w:r>
      <w:r w:rsidRPr="00391382">
        <w:t xml:space="preserve">At </w:t>
      </w:r>
      <w:hyperlink r:id="rId6" w:history="1">
        <w:r w:rsidRPr="00391382">
          <w:rPr>
            <w:rStyle w:val="Hyperlink"/>
          </w:rPr>
          <w:t>http://www.ag.gov.au/RightsAndProtections/HumanRights/TreatyBodyReporting/Pages/default.aspx</w:t>
        </w:r>
      </w:hyperlink>
      <w:r w:rsidRPr="00391382">
        <w:t xml:space="preserve"> (viewed 17 June 2015).</w:t>
      </w:r>
    </w:p>
  </w:endnote>
  <w:endnote w:id="9">
    <w:p w14:paraId="6089D053" w14:textId="77777777" w:rsidR="00520AFF" w:rsidRPr="00391382" w:rsidRDefault="00520AFF">
      <w:pPr>
        <w:pStyle w:val="EndnoteText"/>
      </w:pPr>
      <w:r w:rsidRPr="00391382">
        <w:rPr>
          <w:rStyle w:val="EndnoteReference"/>
        </w:rPr>
        <w:endnoteRef/>
      </w:r>
      <w:r w:rsidRPr="00391382">
        <w:t xml:space="preserve"> Productivity Commission, </w:t>
      </w:r>
      <w:r w:rsidRPr="00391382">
        <w:rPr>
          <w:i/>
        </w:rPr>
        <w:t>Report on Government Services (2015)</w:t>
      </w:r>
      <w:r w:rsidRPr="00391382">
        <w:t xml:space="preserve">. Available at </w:t>
      </w:r>
      <w:hyperlink r:id="rId7" w:history="1">
        <w:r w:rsidRPr="00391382">
          <w:rPr>
            <w:rStyle w:val="Hyperlink"/>
          </w:rPr>
          <w:t>http://www.pc.gov.au/research/recurring/report-on-government-services</w:t>
        </w:r>
      </w:hyperlink>
      <w:r w:rsidRPr="00391382">
        <w:t xml:space="preserve"> (viewed 17 June 2015). </w:t>
      </w:r>
    </w:p>
  </w:endnote>
  <w:endnote w:id="10">
    <w:p w14:paraId="2209DAE5" w14:textId="77777777" w:rsidR="00520AFF" w:rsidRPr="00391382" w:rsidRDefault="00520AFF">
      <w:pPr>
        <w:pStyle w:val="EndnoteText"/>
      </w:pPr>
      <w:r w:rsidRPr="00391382">
        <w:rPr>
          <w:rStyle w:val="EndnoteReference"/>
        </w:rPr>
        <w:endnoteRef/>
      </w:r>
      <w:r w:rsidRPr="00391382">
        <w:t xml:space="preserve"> Productivity Commission, </w:t>
      </w:r>
      <w:r w:rsidRPr="00391382">
        <w:rPr>
          <w:i/>
        </w:rPr>
        <w:t>Report on Government Services (2015)</w:t>
      </w:r>
      <w:r w:rsidRPr="00391382">
        <w:t xml:space="preserve">, Table 15A.18. At </w:t>
      </w:r>
      <w:hyperlink r:id="rId8" w:history="1">
        <w:r w:rsidRPr="00391382">
          <w:rPr>
            <w:rStyle w:val="Hyperlink"/>
          </w:rPr>
          <w:t>http://www.pc.gov.au/research/recurring/report-on-government-services/2015/community-services/child-protection/government-services-2015-volumef-chapter15.pdf</w:t>
        </w:r>
      </w:hyperlink>
      <w:r w:rsidRPr="00391382">
        <w:t xml:space="preserve"> (viewed 17 June 2015).</w:t>
      </w:r>
    </w:p>
  </w:endnote>
  <w:endnote w:id="11">
    <w:p w14:paraId="6F1F3564" w14:textId="77777777" w:rsidR="00520AFF" w:rsidRPr="00391382" w:rsidRDefault="00520AFF">
      <w:pPr>
        <w:pStyle w:val="EndnoteText"/>
      </w:pPr>
      <w:r w:rsidRPr="00391382">
        <w:rPr>
          <w:rStyle w:val="EndnoteReference"/>
        </w:rPr>
        <w:endnoteRef/>
      </w:r>
      <w:r w:rsidRPr="00391382">
        <w:t xml:space="preserve"> Productivity Commission, </w:t>
      </w:r>
      <w:r w:rsidRPr="00391382">
        <w:rPr>
          <w:i/>
        </w:rPr>
        <w:t>Report on Government Services (2015)</w:t>
      </w:r>
      <w:r w:rsidRPr="00391382">
        <w:t xml:space="preserve">, p 15.13. At </w:t>
      </w:r>
      <w:hyperlink r:id="rId9" w:history="1">
        <w:r w:rsidRPr="00391382">
          <w:rPr>
            <w:rStyle w:val="Hyperlink"/>
          </w:rPr>
          <w:t>http://www.pc.gov.au/research/recurring/report-on-government-services/2015/community-services/child-protection/government-services-2015-volumef-chapter15.pdf</w:t>
        </w:r>
      </w:hyperlink>
      <w:r w:rsidRPr="00391382">
        <w:t xml:space="preserve"> (viewed 17 June 2015).</w:t>
      </w:r>
    </w:p>
  </w:endnote>
  <w:endnote w:id="12">
    <w:p w14:paraId="78B2ABB1" w14:textId="77777777" w:rsidR="00DF4FEC" w:rsidRDefault="00DF4FEC" w:rsidP="00DF4FEC">
      <w:pPr>
        <w:pStyle w:val="EndnoteText"/>
      </w:pPr>
      <w:r w:rsidRPr="00840E6D">
        <w:rPr>
          <w:rStyle w:val="EndnoteReference"/>
          <w:rFonts w:cs="Arial"/>
        </w:rPr>
        <w:endnoteRef/>
      </w:r>
      <w:r w:rsidRPr="00840E6D">
        <w:rPr>
          <w:rFonts w:cs="Arial"/>
          <w:i/>
        </w:rPr>
        <w:t>Wilson v Joseph Michael Francis, Minister for Corrective Services for the State of Western Australia</w:t>
      </w:r>
      <w:r w:rsidRPr="00840E6D">
        <w:rPr>
          <w:rFonts w:cs="Arial"/>
        </w:rPr>
        <w:t xml:space="preserve"> [2013] WASC 157 (3 May 2013), and a Victorian Ombudsman investigation, </w:t>
      </w:r>
      <w:r w:rsidRPr="00840E6D">
        <w:rPr>
          <w:rFonts w:cs="Arial"/>
          <w:i/>
        </w:rPr>
        <w:t xml:space="preserve">Investigation into Children Transferred from the Youth Justice System to the Adult Prison System </w:t>
      </w:r>
      <w:r w:rsidRPr="00840E6D">
        <w:rPr>
          <w:rFonts w:cs="Arial"/>
        </w:rPr>
        <w:t xml:space="preserve">(2013). At </w:t>
      </w:r>
      <w:hyperlink r:id="rId10" w:history="1">
        <w:r w:rsidRPr="00840E6D">
          <w:rPr>
            <w:rStyle w:val="Hyperlink"/>
            <w:rFonts w:cs="Arial"/>
          </w:rPr>
          <w:t>https://www.ombudsman.vic.gov.au/getattachment/6a579e49-212e-42b0-9d3c-791e2d60e102//reports-publications/parliamentary-reports/investigation-into-children-transferred-from-the-y.aspx</w:t>
        </w:r>
      </w:hyperlink>
      <w:r w:rsidRPr="00840E6D">
        <w:rPr>
          <w:rFonts w:cs="Arial"/>
        </w:rPr>
        <w:t xml:space="preserve"> (viewed </w:t>
      </w:r>
      <w:r>
        <w:rPr>
          <w:rFonts w:cs="Arial"/>
        </w:rPr>
        <w:t>22 June 2015</w:t>
      </w:r>
      <w:r w:rsidRPr="00840E6D">
        <w:rPr>
          <w:rFonts w:cs="Arial"/>
        </w:rPr>
        <w:t xml:space="preserve">). </w:t>
      </w:r>
    </w:p>
  </w:endnote>
  <w:endnote w:id="13">
    <w:p w14:paraId="7971AC05" w14:textId="77777777" w:rsidR="00DF4FEC" w:rsidRDefault="00DF4FEC" w:rsidP="00DF4FE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40E6D">
        <w:rPr>
          <w:rFonts w:cs="Arial"/>
          <w:i/>
        </w:rPr>
        <w:t>Children’s Rights Report 2013</w:t>
      </w:r>
      <w:r w:rsidRPr="00840E6D">
        <w:rPr>
          <w:rFonts w:cs="Arial"/>
        </w:rPr>
        <w:t xml:space="preserve"> (2013), p 33. At </w:t>
      </w:r>
      <w:hyperlink r:id="rId11" w:history="1">
        <w:r w:rsidRPr="00840E6D">
          <w:rPr>
            <w:rStyle w:val="Hyperlink"/>
            <w:rFonts w:cs="Arial"/>
          </w:rPr>
          <w:t>https://www.humanrights.gov.au/publications/childrens-rights-report-2013</w:t>
        </w:r>
      </w:hyperlink>
      <w:r w:rsidRPr="00840E6D">
        <w:rPr>
          <w:rFonts w:cs="Arial"/>
        </w:rPr>
        <w:t xml:space="preserve"> (viewed </w:t>
      </w:r>
      <w:r>
        <w:rPr>
          <w:rFonts w:cs="Arial"/>
        </w:rPr>
        <w:t>22 June 2015</w:t>
      </w:r>
      <w:r w:rsidRPr="00840E6D">
        <w:rPr>
          <w:rFonts w:cs="Arial"/>
        </w:rPr>
        <w:t>).</w:t>
      </w:r>
    </w:p>
  </w:endnote>
  <w:endnote w:id="14">
    <w:p w14:paraId="18E12C70" w14:textId="77777777" w:rsidR="00DF4FEC" w:rsidRDefault="00DF4FEC" w:rsidP="00DF4FEC">
      <w:pPr>
        <w:pStyle w:val="EndnoteText"/>
      </w:pPr>
      <w:r w:rsidRPr="00840E6D">
        <w:rPr>
          <w:rStyle w:val="EndnoteReference"/>
          <w:rFonts w:cs="Arial"/>
        </w:rPr>
        <w:endnoteRef/>
      </w:r>
      <w:r w:rsidRPr="00840E6D">
        <w:rPr>
          <w:rFonts w:cs="Arial"/>
        </w:rPr>
        <w:t xml:space="preserve"> The Australian Human Rights Commission’s consultations in the lead up to the UPR identified successful diversionary initiatives in Victoria, the ACT and Tasmania.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AB0A1" w14:textId="77777777" w:rsidR="0024300C" w:rsidRDefault="0024300C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265E44">
      <w:rPr>
        <w:noProof/>
      </w:rPr>
      <w:t>2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A61F0" w14:textId="77777777" w:rsidR="00150BDB" w:rsidRDefault="00150BDB" w:rsidP="00F14C6D">
      <w:r>
        <w:separator/>
      </w:r>
    </w:p>
  </w:footnote>
  <w:footnote w:type="continuationSeparator" w:id="0">
    <w:p w14:paraId="71DB01BA" w14:textId="77777777" w:rsidR="00150BDB" w:rsidRDefault="00150BDB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CF2CD" w14:textId="6B7BCC45" w:rsidR="008F2E1C" w:rsidRDefault="008F2E1C">
    <w:pPr>
      <w:pStyle w:val="Header"/>
      <w:rPr>
        <w:sz w:val="20"/>
        <w:szCs w:val="20"/>
      </w:rPr>
    </w:pPr>
  </w:p>
  <w:p w14:paraId="315B7438" w14:textId="07586E54" w:rsidR="008F2E1C" w:rsidRDefault="008F2E1C">
    <w:pPr>
      <w:pStyle w:val="Header"/>
      <w:rPr>
        <w:sz w:val="20"/>
        <w:szCs w:val="20"/>
      </w:rPr>
    </w:pPr>
    <w:r>
      <w:rPr>
        <w:rFonts w:cs="ArialMT"/>
        <w:b/>
        <w:noProof/>
        <w:color w:val="000000"/>
        <w:spacing w:val="-20"/>
        <w:sz w:val="32"/>
      </w:rPr>
      <w:drawing>
        <wp:anchor distT="0" distB="0" distL="114300" distR="114300" simplePos="0" relativeHeight="251659264" behindDoc="0" locked="0" layoutInCell="1" allowOverlap="1" wp14:anchorId="7A93BD8E" wp14:editId="676E2074">
          <wp:simplePos x="0" y="0"/>
          <wp:positionH relativeFrom="margin">
            <wp:align>left</wp:align>
          </wp:positionH>
          <wp:positionV relativeFrom="margin">
            <wp:posOffset>-548640</wp:posOffset>
          </wp:positionV>
          <wp:extent cx="2362200" cy="800100"/>
          <wp:effectExtent l="0" t="0" r="0" b="0"/>
          <wp:wrapSquare wrapText="bothSides"/>
          <wp:docPr id="4" name="Picture 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-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873BA0" w14:textId="3B921B61" w:rsidR="008226D8" w:rsidRPr="008226D8" w:rsidRDefault="008226D8">
    <w:pPr>
      <w:pStyle w:val="Header"/>
      <w:rPr>
        <w:sz w:val="20"/>
        <w:szCs w:val="20"/>
      </w:rPr>
    </w:pPr>
    <w:r w:rsidRPr="008226D8">
      <w:rPr>
        <w:sz w:val="20"/>
        <w:szCs w:val="20"/>
      </w:rPr>
      <w:t>Universal Periodic Review</w:t>
    </w:r>
  </w:p>
  <w:p w14:paraId="5189DDF5" w14:textId="05F6EB22" w:rsidR="008226D8" w:rsidRPr="008226D8" w:rsidRDefault="008226D8">
    <w:pPr>
      <w:pStyle w:val="Header"/>
      <w:rPr>
        <w:b/>
        <w:sz w:val="20"/>
        <w:szCs w:val="20"/>
      </w:rPr>
    </w:pPr>
  </w:p>
  <w:p w14:paraId="623580AF" w14:textId="153C0717" w:rsidR="008226D8" w:rsidRDefault="008226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634B" w14:textId="77777777" w:rsidR="0030508A" w:rsidRDefault="003050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1"/>
  </w:num>
  <w:num w:numId="12">
    <w:abstractNumId w:val="17"/>
  </w:num>
  <w:num w:numId="13">
    <w:abstractNumId w:val="13"/>
  </w:num>
  <w:num w:numId="14">
    <w:abstractNumId w:val="20"/>
  </w:num>
  <w:num w:numId="15">
    <w:abstractNumId w:val="14"/>
  </w:num>
  <w:num w:numId="16">
    <w:abstractNumId w:val="10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8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9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78"/>
    <w:rsid w:val="0001254B"/>
    <w:rsid w:val="00013272"/>
    <w:rsid w:val="00021134"/>
    <w:rsid w:val="000540A0"/>
    <w:rsid w:val="000579B1"/>
    <w:rsid w:val="00074750"/>
    <w:rsid w:val="00074CD6"/>
    <w:rsid w:val="000B0A5D"/>
    <w:rsid w:val="000E3611"/>
    <w:rsid w:val="000F7FA3"/>
    <w:rsid w:val="001011C8"/>
    <w:rsid w:val="001177F6"/>
    <w:rsid w:val="00132462"/>
    <w:rsid w:val="00140077"/>
    <w:rsid w:val="00150BDB"/>
    <w:rsid w:val="001523D8"/>
    <w:rsid w:val="001566D4"/>
    <w:rsid w:val="0015686B"/>
    <w:rsid w:val="00162A8D"/>
    <w:rsid w:val="00184098"/>
    <w:rsid w:val="001867A2"/>
    <w:rsid w:val="001A5D46"/>
    <w:rsid w:val="001B0353"/>
    <w:rsid w:val="001C139C"/>
    <w:rsid w:val="001C451B"/>
    <w:rsid w:val="001F2BBB"/>
    <w:rsid w:val="0020759E"/>
    <w:rsid w:val="00231ED1"/>
    <w:rsid w:val="0023303F"/>
    <w:rsid w:val="0024300C"/>
    <w:rsid w:val="0024557E"/>
    <w:rsid w:val="00265E44"/>
    <w:rsid w:val="002702D9"/>
    <w:rsid w:val="002D27AE"/>
    <w:rsid w:val="002E6F1E"/>
    <w:rsid w:val="002F25B9"/>
    <w:rsid w:val="002F28A1"/>
    <w:rsid w:val="003040CA"/>
    <w:rsid w:val="0030508A"/>
    <w:rsid w:val="00310ED4"/>
    <w:rsid w:val="0031492A"/>
    <w:rsid w:val="00316504"/>
    <w:rsid w:val="00316C1A"/>
    <w:rsid w:val="00321AF0"/>
    <w:rsid w:val="00377C8F"/>
    <w:rsid w:val="00391382"/>
    <w:rsid w:val="003931C7"/>
    <w:rsid w:val="003955AE"/>
    <w:rsid w:val="00395B25"/>
    <w:rsid w:val="003A533F"/>
    <w:rsid w:val="003B0992"/>
    <w:rsid w:val="003B18A7"/>
    <w:rsid w:val="003E1959"/>
    <w:rsid w:val="003F0CEE"/>
    <w:rsid w:val="00401C73"/>
    <w:rsid w:val="004215B3"/>
    <w:rsid w:val="00432DCE"/>
    <w:rsid w:val="00444303"/>
    <w:rsid w:val="004561BE"/>
    <w:rsid w:val="00462D4C"/>
    <w:rsid w:val="00473DB9"/>
    <w:rsid w:val="00474063"/>
    <w:rsid w:val="00476EEA"/>
    <w:rsid w:val="00494D4B"/>
    <w:rsid w:val="004A722D"/>
    <w:rsid w:val="004F53EF"/>
    <w:rsid w:val="00503E04"/>
    <w:rsid w:val="00504B28"/>
    <w:rsid w:val="00513540"/>
    <w:rsid w:val="00520AFF"/>
    <w:rsid w:val="00522CED"/>
    <w:rsid w:val="0053506A"/>
    <w:rsid w:val="00554C04"/>
    <w:rsid w:val="005B7515"/>
    <w:rsid w:val="005C1654"/>
    <w:rsid w:val="005D04F4"/>
    <w:rsid w:val="005D1F34"/>
    <w:rsid w:val="005F5F45"/>
    <w:rsid w:val="00614C7A"/>
    <w:rsid w:val="00647078"/>
    <w:rsid w:val="00681F6F"/>
    <w:rsid w:val="00690313"/>
    <w:rsid w:val="00696390"/>
    <w:rsid w:val="006A6BB3"/>
    <w:rsid w:val="006B3680"/>
    <w:rsid w:val="006D5EE5"/>
    <w:rsid w:val="006E06ED"/>
    <w:rsid w:val="006E06F5"/>
    <w:rsid w:val="006E3A1B"/>
    <w:rsid w:val="006F47C3"/>
    <w:rsid w:val="006F598D"/>
    <w:rsid w:val="007039FC"/>
    <w:rsid w:val="00706803"/>
    <w:rsid w:val="00706FAB"/>
    <w:rsid w:val="00707793"/>
    <w:rsid w:val="007169BB"/>
    <w:rsid w:val="00725D5E"/>
    <w:rsid w:val="00751C50"/>
    <w:rsid w:val="007548CA"/>
    <w:rsid w:val="00770DCB"/>
    <w:rsid w:val="00775485"/>
    <w:rsid w:val="00780640"/>
    <w:rsid w:val="007841E1"/>
    <w:rsid w:val="007D40BD"/>
    <w:rsid w:val="007E1866"/>
    <w:rsid w:val="007E6434"/>
    <w:rsid w:val="00810ABF"/>
    <w:rsid w:val="008125EE"/>
    <w:rsid w:val="00814602"/>
    <w:rsid w:val="008226D8"/>
    <w:rsid w:val="0083209A"/>
    <w:rsid w:val="008453BE"/>
    <w:rsid w:val="008724DE"/>
    <w:rsid w:val="008A2AF7"/>
    <w:rsid w:val="008A3D57"/>
    <w:rsid w:val="008E3D60"/>
    <w:rsid w:val="008F2E1C"/>
    <w:rsid w:val="0090165F"/>
    <w:rsid w:val="00921CB7"/>
    <w:rsid w:val="00923C4F"/>
    <w:rsid w:val="009472C4"/>
    <w:rsid w:val="00950E88"/>
    <w:rsid w:val="00962315"/>
    <w:rsid w:val="00966C2F"/>
    <w:rsid w:val="009802F3"/>
    <w:rsid w:val="009A5753"/>
    <w:rsid w:val="009C5FB8"/>
    <w:rsid w:val="009D62FD"/>
    <w:rsid w:val="009E7FC4"/>
    <w:rsid w:val="009F51D9"/>
    <w:rsid w:val="009F7AAC"/>
    <w:rsid w:val="00A02F56"/>
    <w:rsid w:val="00A0406E"/>
    <w:rsid w:val="00A41355"/>
    <w:rsid w:val="00A43B92"/>
    <w:rsid w:val="00A44720"/>
    <w:rsid w:val="00A6179E"/>
    <w:rsid w:val="00A66F67"/>
    <w:rsid w:val="00AC27AB"/>
    <w:rsid w:val="00AC6A34"/>
    <w:rsid w:val="00AE76EB"/>
    <w:rsid w:val="00B013C5"/>
    <w:rsid w:val="00B22697"/>
    <w:rsid w:val="00B2466D"/>
    <w:rsid w:val="00B277E0"/>
    <w:rsid w:val="00B52E2D"/>
    <w:rsid w:val="00B76653"/>
    <w:rsid w:val="00BA262D"/>
    <w:rsid w:val="00BC79EB"/>
    <w:rsid w:val="00C076F2"/>
    <w:rsid w:val="00C247EB"/>
    <w:rsid w:val="00C25BDA"/>
    <w:rsid w:val="00C53971"/>
    <w:rsid w:val="00C54FB1"/>
    <w:rsid w:val="00C80F9F"/>
    <w:rsid w:val="00CA0D78"/>
    <w:rsid w:val="00CB27A8"/>
    <w:rsid w:val="00CE7182"/>
    <w:rsid w:val="00D1215F"/>
    <w:rsid w:val="00D36D90"/>
    <w:rsid w:val="00D55FD8"/>
    <w:rsid w:val="00D65C76"/>
    <w:rsid w:val="00DA2F73"/>
    <w:rsid w:val="00DA42E8"/>
    <w:rsid w:val="00DC193F"/>
    <w:rsid w:val="00DC3C4F"/>
    <w:rsid w:val="00DC462F"/>
    <w:rsid w:val="00DF4FEC"/>
    <w:rsid w:val="00E24FA3"/>
    <w:rsid w:val="00E328CD"/>
    <w:rsid w:val="00E45954"/>
    <w:rsid w:val="00E75D90"/>
    <w:rsid w:val="00E835AF"/>
    <w:rsid w:val="00E86E06"/>
    <w:rsid w:val="00E97EF8"/>
    <w:rsid w:val="00EB0312"/>
    <w:rsid w:val="00EE44D7"/>
    <w:rsid w:val="00EF018F"/>
    <w:rsid w:val="00F11887"/>
    <w:rsid w:val="00F14C6D"/>
    <w:rsid w:val="00F3100E"/>
    <w:rsid w:val="00F71A6E"/>
    <w:rsid w:val="00F9078E"/>
    <w:rsid w:val="00F95982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F61715D"/>
  <w15:docId w15:val="{FD10C826-32A1-4CB3-9D26-A38D2FFA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uiPriority w:val="99"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BalloonText">
    <w:name w:val="Balloon Text"/>
    <w:basedOn w:val="Normal"/>
    <w:link w:val="BalloonTextChar"/>
    <w:locked/>
    <w:rsid w:val="00681F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1F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locked/>
    <w:rsid w:val="006F47C3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F4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47C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locked/>
    <w:rsid w:val="006F4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47C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.gov.au/research/recurring/report-on-government-services/2015/community-services/child-protection/government-services-2015-volumef-chapter15.pdf" TargetMode="External"/><Relationship Id="rId3" Type="http://schemas.openxmlformats.org/officeDocument/2006/relationships/hyperlink" Target="http://www.cfecfw.asn.au/news/2015/03/national-framework-protecting-australias-children" TargetMode="External"/><Relationship Id="rId7" Type="http://schemas.openxmlformats.org/officeDocument/2006/relationships/hyperlink" Target="http://www.pc.gov.au/research/recurring/report-on-government-services" TargetMode="External"/><Relationship Id="rId2" Type="http://schemas.openxmlformats.org/officeDocument/2006/relationships/hyperlink" Target="http://www.attorneygeneral.gov.au/Mediareleases/Pages/2014/ThirdQuarter/2September2014-ChildAbuseRoyalCommissionGrantedATwoYearExtension.aspx" TargetMode="External"/><Relationship Id="rId1" Type="http://schemas.openxmlformats.org/officeDocument/2006/relationships/hyperlink" Target="https://www.humanrights.gov.au/news/media-releases/commission-welcomes-inaugural-children-s-commissioner" TargetMode="External"/><Relationship Id="rId6" Type="http://schemas.openxmlformats.org/officeDocument/2006/relationships/hyperlink" Target="http://www.ag.gov.au/RightsAndProtections/HumanRights/TreatyBodyReporting/Pages/default.aspx" TargetMode="External"/><Relationship Id="rId11" Type="http://schemas.openxmlformats.org/officeDocument/2006/relationships/hyperlink" Target="https://www.humanrights.gov.au/publications/childrens-rights-report-2013" TargetMode="External"/><Relationship Id="rId5" Type="http://schemas.openxmlformats.org/officeDocument/2006/relationships/hyperlink" Target="https://www.humanrights.gov.au/our-work/childrens-rights/publications/childrens-rights-report-2014" TargetMode="External"/><Relationship Id="rId10" Type="http://schemas.openxmlformats.org/officeDocument/2006/relationships/hyperlink" Target="https://www.ombudsman.vic.gov.au/getattachment/6a579e49-212e-42b0-9d3c-791e2d60e102//reports-publications/parliamentary-reports/investigation-into-children-transferred-from-the-y.aspx" TargetMode="External"/><Relationship Id="rId4" Type="http://schemas.openxmlformats.org/officeDocument/2006/relationships/hyperlink" Target="https://www.humanrights.gov.au/our-work/childrens-rights/publications/childrens-rights-report-2013" TargetMode="External"/><Relationship Id="rId9" Type="http://schemas.openxmlformats.org/officeDocument/2006/relationships/hyperlink" Target="http://www.pc.gov.au/research/recurring/report-on-government-services/2015/community-services/child-protection/government-services-2015-volumef-chapter1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B086-38E4-4CF5-B3A7-AB5BB8E9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532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Helen Potts</dc:creator>
  <cp:lastModifiedBy>Helen Potts</cp:lastModifiedBy>
  <cp:revision>14</cp:revision>
  <dcterms:created xsi:type="dcterms:W3CDTF">2015-06-17T22:32:00Z</dcterms:created>
  <dcterms:modified xsi:type="dcterms:W3CDTF">2015-06-26T04:03:00Z</dcterms:modified>
</cp:coreProperties>
</file>